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9"/>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14                                   </w:t>
      </w:r>
      <w:bookmarkStart w:id="4" w:name="_GoBack"/>
      <w:bookmarkEnd w:id="4"/>
      <w:r>
        <w:rPr>
          <w:rFonts w:hint="eastAsia" w:ascii="Arial" w:hAnsi="Arial" w:cs="Arial"/>
          <w:b/>
          <w:sz w:val="24"/>
          <w:szCs w:val="24"/>
          <w:lang w:val="en-US" w:eastAsia="zh-CN"/>
        </w:rPr>
        <w:t>R4-2501501</w:t>
      </w:r>
    </w:p>
    <w:bookmarkEnd w:id="2"/>
    <w:p>
      <w:pPr>
        <w:pStyle w:val="19"/>
        <w:tabs>
          <w:tab w:val="right" w:pos="9781"/>
          <w:tab w:val="right" w:pos="13323"/>
          <w:tab w:val="clear" w:pos="4680"/>
          <w:tab w:val="clear" w:pos="9360"/>
        </w:tabs>
        <w:spacing w:before="60" w:after="60"/>
        <w:outlineLvl w:val="0"/>
        <w:rPr>
          <w:rFonts w:hint="eastAsia" w:ascii="Arial" w:hAnsi="Arial" w:cs="Arial"/>
          <w:b/>
          <w:sz w:val="24"/>
          <w:szCs w:val="24"/>
          <w:lang w:val="en-US" w:eastAsia="zh-CN"/>
        </w:rPr>
      </w:pPr>
      <w:r>
        <w:rPr>
          <w:rFonts w:hint="eastAsia" w:ascii="Arial" w:hAnsi="Arial" w:eastAsia="宋体" w:cs="Arial"/>
          <w:b/>
          <w:sz w:val="24"/>
          <w:szCs w:val="24"/>
          <w:lang w:eastAsia="zh-CN"/>
        </w:rPr>
        <w:t>Athens</w:t>
      </w:r>
      <w:r>
        <w:rPr>
          <w:rFonts w:ascii="Arial" w:hAnsi="Arial" w:eastAsia="宋体" w:cs="Arial"/>
          <w:b/>
          <w:sz w:val="24"/>
          <w:szCs w:val="24"/>
          <w:lang w:eastAsia="zh-CN"/>
        </w:rPr>
        <w:t>, GR, 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21</w:t>
      </w:r>
      <w:r>
        <w:rPr>
          <w:rFonts w:ascii="Arial" w:hAnsi="Arial" w:eastAsia="宋体" w:cs="Arial"/>
          <w:b/>
          <w:sz w:val="24"/>
          <w:szCs w:val="24"/>
          <w:vertAlign w:val="superscript"/>
          <w:lang w:eastAsia="zh-CN"/>
        </w:rPr>
        <w:t>st</w:t>
      </w:r>
      <w:r>
        <w:rPr>
          <w:rFonts w:ascii="Arial" w:hAnsi="Arial" w:eastAsia="宋体" w:cs="Arial"/>
          <w:b/>
          <w:sz w:val="24"/>
          <w:szCs w:val="24"/>
          <w:lang w:eastAsia="zh-CN"/>
        </w:rPr>
        <w:t xml:space="preserve"> February, 2025</w:t>
      </w:r>
    </w:p>
    <w:p>
      <w:pPr>
        <w:pStyle w:val="19"/>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 xml:space="preserve">Discussion on </w:t>
      </w:r>
      <w:r>
        <w:rPr>
          <w:rFonts w:hint="eastAsia" w:ascii="Arial" w:hAnsi="Arial"/>
          <w:b/>
          <w:sz w:val="24"/>
          <w:lang w:val="en-US" w:eastAsia="zh-CN"/>
        </w:rPr>
        <w:t>R18 ATG k1 value</w:t>
      </w:r>
    </w:p>
    <w:p>
      <w:pPr>
        <w:widowControl w:val="0"/>
        <w:tabs>
          <w:tab w:val="left" w:pos="1985"/>
        </w:tabs>
        <w:spacing w:before="120" w:after="120"/>
        <w:outlineLvl w:val="0"/>
        <w:rPr>
          <w:rStyle w:val="62"/>
          <w:rFonts w:hint="default" w:eastAsia="宋体"/>
          <w:b/>
          <w:lang w:val="en-US" w:eastAsia="zh-CN"/>
        </w:rPr>
      </w:pPr>
      <w:r>
        <w:rPr>
          <w:rFonts w:ascii="Arial" w:hAnsi="Arial"/>
          <w:b/>
          <w:sz w:val="24"/>
        </w:rPr>
        <w:t xml:space="preserve">Source: </w:t>
      </w:r>
      <w:r>
        <w:rPr>
          <w:rFonts w:ascii="Arial" w:hAnsi="Arial"/>
          <w:b/>
          <w:sz w:val="24"/>
        </w:rPr>
        <w:tab/>
      </w:r>
      <w:r>
        <w:rPr>
          <w:rStyle w:val="62"/>
          <w:rFonts w:hint="eastAsia"/>
          <w:b/>
        </w:rPr>
        <w:t>ZTE Corporation</w:t>
      </w:r>
      <w:r>
        <w:rPr>
          <w:rStyle w:val="62"/>
          <w:rFonts w:hint="eastAsia"/>
          <w:b/>
          <w:lang w:val="en-US" w:eastAsia="zh-CN"/>
        </w:rPr>
        <w:t>, Sanechips</w:t>
      </w:r>
    </w:p>
    <w:p>
      <w:pPr>
        <w:widowControl w:val="0"/>
        <w:tabs>
          <w:tab w:val="left" w:pos="1985"/>
        </w:tabs>
        <w:spacing w:before="120" w:after="120"/>
        <w:outlineLvl w:val="0"/>
        <w:rPr>
          <w:rStyle w:val="62"/>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5.6.4</w:t>
      </w:r>
    </w:p>
    <w:p>
      <w:pPr>
        <w:widowControl w:val="0"/>
        <w:tabs>
          <w:tab w:val="left" w:pos="1985"/>
        </w:tabs>
        <w:spacing w:before="120" w:after="120"/>
        <w:ind w:left="1980" w:hanging="1980"/>
        <w:outlineLvl w:val="0"/>
        <w:rPr>
          <w:rStyle w:val="62"/>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 xml:space="preserve">In last meeting, RAN4 discussed how to address the k1 value in the ATG scenario. Ultimately, RAN4 agreed to introduce the outOfOrderOperationDL-r16 as a solution to the ATG HARQ timing. However, during the last meeting, some companies proposed that has a potential issues for outOfOrderOperationDL-r16 capability. </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this contribution, we would like to discuss how to address the legacy issues.</w:t>
      </w:r>
    </w:p>
    <w:p>
      <w:pPr>
        <w:widowControl w:val="0"/>
        <w:pBdr>
          <w:top w:val="single" w:color="auto" w:sz="12" w:space="3"/>
        </w:pBdr>
        <w:spacing w:beforeLines="0" w:afterLines="0"/>
        <w:jc w:val="left"/>
        <w:outlineLvl w:val="0"/>
        <w:rPr>
          <w:rFonts w:hint="eastAsia" w:cs="Times New Roman"/>
          <w:b w:val="0"/>
          <w:bCs w:val="0"/>
          <w:kern w:val="0"/>
          <w:sz w:val="20"/>
          <w:szCs w:val="20"/>
          <w:highlight w:val="none"/>
          <w:lang w:val="en-US" w:eastAsia="zh-CN"/>
        </w:rPr>
      </w:pPr>
      <w:r>
        <w:rPr>
          <w:rFonts w:hint="eastAsia"/>
          <w:b/>
          <w:kern w:val="0"/>
          <w:sz w:val="24"/>
          <w:szCs w:val="24"/>
        </w:rPr>
        <w:t xml:space="preserve">2 </w:t>
      </w:r>
      <w:r>
        <w:rPr>
          <w:b/>
          <w:kern w:val="0"/>
          <w:sz w:val="24"/>
          <w:szCs w:val="24"/>
        </w:rPr>
        <w:t>Discussion</w:t>
      </w:r>
    </w:p>
    <w:p>
      <w:pPr>
        <w:rPr>
          <w:rFonts w:hint="default" w:cs="Times New Roman"/>
          <w:kern w:val="2"/>
          <w:sz w:val="21"/>
          <w:lang w:val="en-US" w:eastAsia="zh-CN" w:bidi="ar-SA"/>
        </w:rPr>
      </w:pPr>
      <w:r>
        <w:rPr>
          <w:rFonts w:hint="eastAsia" w:cs="Times New Roman"/>
          <w:kern w:val="2"/>
          <w:sz w:val="21"/>
          <w:lang w:val="en-US" w:eastAsia="zh-CN" w:bidi="ar-SA"/>
        </w:rPr>
        <w:t xml:space="preserve">In previous meeting, RAN4 discussed how to address the k1 value for new TDD pattern. Out of order processing, as an optional solution is captured into the specification [1]. </w:t>
      </w:r>
    </w:p>
    <w:p>
      <w:pPr>
        <w:jc w:val="center"/>
      </w:pPr>
      <w:r>
        <w:drawing>
          <wp:inline distT="0" distB="0" distL="114300" distR="114300">
            <wp:extent cx="3116580" cy="1333500"/>
            <wp:effectExtent l="0" t="0" r="7620"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3116580" cy="1333500"/>
                    </a:xfrm>
                    <a:prstGeom prst="rect">
                      <a:avLst/>
                    </a:prstGeom>
                    <a:noFill/>
                    <a:ln>
                      <a:noFill/>
                    </a:ln>
                  </pic:spPr>
                </pic:pic>
              </a:graphicData>
            </a:graphic>
          </wp:inline>
        </w:drawing>
      </w:r>
    </w:p>
    <w:p>
      <w:pPr>
        <w:jc w:val="both"/>
        <w:rPr>
          <w:rFonts w:hint="default" w:cs="Times New Roman"/>
          <w:kern w:val="2"/>
          <w:sz w:val="21"/>
          <w:lang w:val="en-US" w:eastAsia="zh-CN" w:bidi="ar-SA"/>
        </w:rPr>
      </w:pPr>
      <w:r>
        <w:rPr>
          <w:rFonts w:hint="eastAsia" w:cs="Times New Roman"/>
          <w:kern w:val="2"/>
          <w:sz w:val="21"/>
          <w:lang w:val="en-US" w:eastAsia="zh-CN" w:bidi="ar-SA"/>
        </w:rPr>
        <w:t xml:space="preserve">However, in last meeting, some companies mentioned that the capability of outOfOrderOperationDL-r16 is bundled with other features, as shown in following. </w:t>
      </w:r>
    </w:p>
    <w:p>
      <w:pPr>
        <w:jc w:val="both"/>
        <w:rPr>
          <w:rFonts w:hint="default" w:cs="Times New Roman"/>
          <w:kern w:val="2"/>
          <w:sz w:val="21"/>
          <w:lang w:val="en-US" w:eastAsia="zh-CN" w:bidi="ar-SA"/>
        </w:rPr>
      </w:pPr>
      <w:r>
        <w:drawing>
          <wp:inline distT="0" distB="0" distL="114300" distR="114300">
            <wp:extent cx="6130925" cy="1075690"/>
            <wp:effectExtent l="0" t="0" r="10795" b="635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3"/>
                    <a:stretch>
                      <a:fillRect/>
                    </a:stretch>
                  </pic:blipFill>
                  <pic:spPr>
                    <a:xfrm>
                      <a:off x="0" y="0"/>
                      <a:ext cx="6130925" cy="1075690"/>
                    </a:xfrm>
                    <a:prstGeom prst="rect">
                      <a:avLst/>
                    </a:prstGeom>
                    <a:noFill/>
                    <a:ln>
                      <a:noFill/>
                    </a:ln>
                  </pic:spPr>
                </pic:pic>
              </a:graphicData>
            </a:graphic>
          </wp:inline>
        </w:drawing>
      </w:r>
    </w:p>
    <w:p>
      <w:pPr>
        <w:jc w:val="both"/>
        <w:rPr>
          <w:rFonts w:hint="eastAsia" w:cs="Times New Roman"/>
          <w:kern w:val="2"/>
          <w:sz w:val="21"/>
          <w:lang w:val="en-US" w:eastAsia="zh-CN" w:bidi="ar-SA"/>
        </w:rPr>
      </w:pPr>
      <w:r>
        <w:rPr>
          <w:rFonts w:hint="eastAsia" w:cs="Times New Roman"/>
          <w:kern w:val="2"/>
          <w:sz w:val="21"/>
          <w:lang w:val="en-US" w:eastAsia="zh-CN" w:bidi="ar-SA"/>
        </w:rPr>
        <w:t xml:space="preserve">Regarding the k1 value issue, RAN4 is making every effort to find solutions under the premise of ensuring no disruption to the RAN1 specification. Despite the increased complexity and latency on the BS side due to out of order scheduling, this scheme ensure effective scheduling of new pattern (30D4S6U) in practical network, thereby significantly enhancing downlink throughput. </w:t>
      </w:r>
    </w:p>
    <w:p>
      <w:pPr>
        <w:jc w:val="both"/>
        <w:rPr>
          <w:rFonts w:hint="default" w:cs="Times New Roman"/>
          <w:kern w:val="2"/>
          <w:sz w:val="21"/>
          <w:lang w:val="en-US" w:eastAsia="zh-CN" w:bidi="ar-SA"/>
        </w:rPr>
      </w:pPr>
      <w:r>
        <w:rPr>
          <w:rFonts w:hint="eastAsia" w:cs="Times New Roman"/>
          <w:kern w:val="2"/>
          <w:sz w:val="21"/>
          <w:lang w:val="en-US" w:eastAsia="zh-CN" w:bidi="ar-SA"/>
        </w:rPr>
        <w:t xml:space="preserve">To solve the above issue, we propose to introduce a new capability </w:t>
      </w:r>
      <w:r>
        <w:rPr>
          <w:rFonts w:hint="eastAsia" w:cs="Times New Roman"/>
          <w:sz w:val="20"/>
          <w:szCs w:val="20"/>
          <w:lang w:val="en-US" w:eastAsia="zh-CN"/>
        </w:rPr>
        <w:t xml:space="preserve">outOfOrderOperationDLATG-r18 </w:t>
      </w:r>
      <w:r>
        <w:rPr>
          <w:rFonts w:hint="eastAsia" w:cs="Times New Roman"/>
          <w:kern w:val="2"/>
          <w:sz w:val="21"/>
          <w:lang w:val="en-US" w:eastAsia="zh-CN" w:bidi="ar-SA"/>
        </w:rPr>
        <w:t>to support Rel-18 ATG feature. And also needs to send LS to RAN2 to introduce new capability of outOfOrderOperationDLATG-r18. The draft LS can be found in Annex.</w:t>
      </w:r>
    </w:p>
    <w:p>
      <w:pPr>
        <w:jc w:val="both"/>
        <w:rPr>
          <w:rFonts w:hint="eastAsia" w:cs="Times New Roman"/>
          <w:kern w:val="2"/>
          <w:sz w:val="21"/>
          <w:lang w:val="en-US" w:eastAsia="zh-CN" w:bidi="ar-SA"/>
        </w:rPr>
      </w:pPr>
    </w:p>
    <w:p>
      <w:pPr>
        <w:rPr>
          <w:rFonts w:hint="eastAsia"/>
          <w:b/>
          <w:bCs/>
          <w:i/>
          <w:iCs/>
          <w:szCs w:val="21"/>
          <w:lang w:val="en-US" w:eastAsia="zh-CN"/>
        </w:rPr>
      </w:pPr>
      <w:r>
        <w:rPr>
          <w:rFonts w:hint="eastAsia"/>
          <w:b/>
          <w:bCs/>
          <w:i/>
          <w:iCs/>
          <w:szCs w:val="21"/>
          <w:lang w:val="en-US" w:eastAsia="zh-CN"/>
        </w:rPr>
        <w:t>Proposal 1. Propose to introduce a new capability capability outOfOrderOperationDLATG-r18 to support Rel-18 ATG feature.</w:t>
      </w:r>
    </w:p>
    <w:p>
      <w:pPr>
        <w:rPr>
          <w:rFonts w:hint="default"/>
          <w:b/>
          <w:bCs/>
          <w:i/>
          <w:iCs/>
          <w:szCs w:val="21"/>
          <w:lang w:val="en-US" w:eastAsia="zh-CN"/>
        </w:rPr>
      </w:pPr>
      <w:r>
        <w:rPr>
          <w:rFonts w:hint="eastAsia"/>
          <w:b/>
          <w:bCs/>
          <w:i/>
          <w:iCs/>
          <w:szCs w:val="21"/>
          <w:lang w:val="en-US" w:eastAsia="zh-CN"/>
        </w:rPr>
        <w:t>Proposal 2. Propose to send a LS to RAN2 to introduce new capability of outOfOrderOperationDLATG-r18.</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lang w:val="en-US" w:eastAsia="zh-CN"/>
        </w:rPr>
      </w:pPr>
      <w:r>
        <w:rPr>
          <w:kern w:val="0"/>
          <w:sz w:val="20"/>
        </w:rPr>
        <w:t xml:space="preserve">In this contribution, </w:t>
      </w:r>
      <w:r>
        <w:rPr>
          <w:rFonts w:hint="eastAsia"/>
          <w:bCs/>
          <w:kern w:val="0"/>
          <w:szCs w:val="21"/>
        </w:rPr>
        <w:t xml:space="preserve">we give some discussions on the </w:t>
      </w:r>
      <w:r>
        <w:rPr>
          <w:rFonts w:hint="eastAsia"/>
          <w:bCs/>
          <w:kern w:val="0"/>
          <w:szCs w:val="21"/>
          <w:lang w:val="en-US" w:eastAsia="zh-CN"/>
        </w:rPr>
        <w:t>HARQ k1 value for ATG</w:t>
      </w:r>
      <w:r>
        <w:rPr>
          <w:rFonts w:hint="eastAsia"/>
          <w:bCs/>
          <w:kern w:val="0"/>
          <w:szCs w:val="21"/>
        </w:rPr>
        <w:t>, The conclusion</w:t>
      </w:r>
      <w:r>
        <w:rPr>
          <w:rFonts w:hint="eastAsia"/>
          <w:bCs/>
          <w:kern w:val="0"/>
          <w:szCs w:val="21"/>
          <w:lang w:val="en-US" w:eastAsia="zh-CN"/>
        </w:rPr>
        <w:t xml:space="preserve"> are:</w:t>
      </w:r>
    </w:p>
    <w:p>
      <w:pPr>
        <w:rPr>
          <w:rFonts w:hint="eastAsia"/>
          <w:b/>
          <w:bCs/>
          <w:i/>
          <w:iCs/>
          <w:szCs w:val="21"/>
          <w:lang w:val="en-US" w:eastAsia="zh-CN"/>
        </w:rPr>
      </w:pPr>
      <w:r>
        <w:rPr>
          <w:rFonts w:hint="eastAsia"/>
          <w:b/>
          <w:bCs/>
          <w:i/>
          <w:iCs/>
          <w:szCs w:val="21"/>
          <w:lang w:val="en-US" w:eastAsia="zh-CN"/>
        </w:rPr>
        <w:t>Proposal 1. Propose to introduce a new capability capability outOfOrderOperationDLATG-r18 to support Rel-18 ATG feature.</w:t>
      </w:r>
    </w:p>
    <w:p>
      <w:pPr>
        <w:rPr>
          <w:rFonts w:hint="eastAsia"/>
          <w:b/>
          <w:bCs/>
          <w:i/>
          <w:iCs/>
          <w:szCs w:val="21"/>
          <w:lang w:val="en-US" w:eastAsia="zh-CN"/>
        </w:rPr>
      </w:pPr>
      <w:r>
        <w:rPr>
          <w:rFonts w:hint="eastAsia"/>
          <w:b/>
          <w:bCs/>
          <w:i/>
          <w:iCs/>
          <w:szCs w:val="21"/>
          <w:lang w:val="en-US" w:eastAsia="zh-CN"/>
        </w:rPr>
        <w:t>Proposal 2. Propose to send a LS to RAN2 to introduce new capability of outOfOrderOperationDLATG-r18.</w:t>
      </w:r>
    </w:p>
    <w:p>
      <w:pPr>
        <w:rPr>
          <w:rFonts w:hint="default"/>
          <w:b/>
          <w:bCs/>
          <w:i/>
          <w:iCs/>
          <w:szCs w:val="21"/>
          <w:lang w:val="en-US" w:eastAsia="zh-CN"/>
        </w:rPr>
      </w:pPr>
    </w:p>
    <w:p>
      <w:pPr>
        <w:widowControl w:val="0"/>
        <w:pBdr>
          <w:top w:val="single" w:color="auto" w:sz="12" w:space="3"/>
        </w:pBdr>
        <w:spacing w:beforeLines="0" w:afterLines="0"/>
        <w:jc w:val="left"/>
        <w:outlineLvl w:val="0"/>
        <w:rPr>
          <w:rFonts w:hint="eastAsia"/>
          <w:b/>
          <w:kern w:val="0"/>
          <w:sz w:val="24"/>
          <w:szCs w:val="24"/>
        </w:rPr>
      </w:pPr>
      <w:r>
        <w:rPr>
          <w:rFonts w:hint="eastAsia"/>
          <w:b/>
          <w:kern w:val="0"/>
          <w:sz w:val="24"/>
          <w:szCs w:val="24"/>
        </w:rPr>
        <w:t>4 References</w:t>
      </w:r>
    </w:p>
    <w:p>
      <w:pPr>
        <w:widowControl w:val="0"/>
        <w:pBdr>
          <w:top w:val="single" w:color="auto" w:sz="12" w:space="3"/>
        </w:pBdr>
        <w:spacing w:beforeLines="0" w:afterLines="0"/>
        <w:jc w:val="left"/>
        <w:outlineLvl w:val="9"/>
        <w:rPr>
          <w:rFonts w:hint="eastAsia"/>
          <w:b/>
          <w:kern w:val="0"/>
          <w:sz w:val="24"/>
          <w:szCs w:val="24"/>
        </w:rPr>
      </w:pPr>
    </w:p>
    <w:p>
      <w:pPr>
        <w:pStyle w:val="36"/>
        <w:numPr>
          <w:ilvl w:val="0"/>
          <w:numId w:val="0"/>
        </w:numPr>
        <w:spacing w:afterLines="0" w:line="259" w:lineRule="auto"/>
        <w:ind w:right="-22" w:rightChars="0"/>
        <w:jc w:val="left"/>
        <w:rPr>
          <w:rFonts w:hint="eastAsia" w:eastAsia="宋体" w:cstheme="minorBidi"/>
          <w:kern w:val="0"/>
          <w:sz w:val="21"/>
          <w:szCs w:val="21"/>
          <w:lang w:val="en-US" w:eastAsia="zh-CN"/>
        </w:rPr>
      </w:pPr>
      <w:r>
        <w:rPr>
          <w:rFonts w:hint="eastAsia" w:eastAsia="宋体" w:cstheme="minorBidi"/>
          <w:kern w:val="0"/>
          <w:sz w:val="21"/>
          <w:szCs w:val="21"/>
          <w:lang w:val="en-US" w:eastAsia="zh-CN"/>
        </w:rPr>
        <w:t xml:space="preserve">[1] 3GPP TS 38.101-4 V18.6.0 </w:t>
      </w:r>
    </w:p>
    <w:p>
      <w:pPr>
        <w:pStyle w:val="36"/>
        <w:numPr>
          <w:ilvl w:val="0"/>
          <w:numId w:val="0"/>
        </w:numPr>
        <w:spacing w:afterLines="0" w:line="259" w:lineRule="auto"/>
        <w:ind w:right="-22" w:rightChars="0"/>
        <w:jc w:val="left"/>
        <w:rPr>
          <w:rFonts w:hint="default" w:eastAsia="宋体" w:cstheme="minorBidi"/>
          <w:kern w:val="0"/>
          <w:sz w:val="21"/>
          <w:szCs w:val="21"/>
          <w:lang w:val="en-US" w:eastAsia="zh-CN"/>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widowControl w:val="0"/>
        <w:pBdr>
          <w:top w:val="single" w:color="auto" w:sz="12" w:space="3"/>
        </w:pBdr>
        <w:spacing w:beforeLines="0" w:afterLines="0"/>
        <w:jc w:val="left"/>
        <w:outlineLvl w:val="0"/>
        <w:rPr>
          <w:rFonts w:ascii="Arial" w:hAnsi="Arial" w:eastAsia="Times New Roman" w:cs="Arial"/>
          <w:b/>
          <w:sz w:val="22"/>
          <w:szCs w:val="20"/>
          <w:lang w:val="en-GB"/>
        </w:rPr>
      </w:pPr>
      <w:r>
        <w:rPr>
          <w:rFonts w:hint="eastAsia"/>
          <w:b/>
          <w:kern w:val="0"/>
          <w:sz w:val="24"/>
          <w:szCs w:val="24"/>
          <w:lang w:val="en-US" w:eastAsia="zh-CN"/>
        </w:rPr>
        <w:t>5 Annex</w:t>
      </w:r>
      <w:bookmarkStart w:id="3" w:name="_Hlk492190689"/>
    </w:p>
    <w:bookmarkEnd w:id="3"/>
    <w:p>
      <w:pPr>
        <w:spacing w:after="60"/>
        <w:ind w:left="1985" w:hanging="1985"/>
        <w:rPr>
          <w:rFonts w:hint="default" w:ascii="Arial" w:hAnsi="Arial" w:eastAsia="等线" w:cs="Arial"/>
          <w:sz w:val="20"/>
          <w:lang w:val="en-US"/>
        </w:rPr>
      </w:pPr>
      <w:r>
        <w:rPr>
          <w:rFonts w:ascii="Arial" w:hAnsi="Arial" w:eastAsia="等线" w:cs="Arial"/>
          <w:b/>
          <w:sz w:val="20"/>
        </w:rPr>
        <w:t>Title:</w:t>
      </w:r>
      <w:r>
        <w:rPr>
          <w:rFonts w:ascii="Arial" w:hAnsi="Arial" w:eastAsia="等线" w:cs="Arial"/>
          <w:b/>
          <w:sz w:val="20"/>
        </w:rPr>
        <w:tab/>
      </w:r>
      <w:r>
        <w:rPr>
          <w:rFonts w:ascii="Arial" w:hAnsi="Arial" w:eastAsia="等线" w:cs="Arial"/>
          <w:sz w:val="20"/>
        </w:rPr>
        <w:t xml:space="preserve">LS on </w:t>
      </w:r>
      <w:r>
        <w:rPr>
          <w:rFonts w:hint="eastAsia" w:ascii="Arial" w:hAnsi="Arial" w:eastAsia="等线" w:cs="Arial"/>
          <w:sz w:val="20"/>
          <w:lang w:val="en-US" w:eastAsia="zh-CN"/>
        </w:rPr>
        <w:t xml:space="preserve">introduce a new capability for the R18 ATG feature </w:t>
      </w:r>
    </w:p>
    <w:p>
      <w:pPr>
        <w:spacing w:after="60"/>
        <w:ind w:left="1985" w:hanging="1985"/>
        <w:rPr>
          <w:rFonts w:ascii="Arial" w:hAnsi="Arial" w:eastAsia="等线" w:cs="Arial"/>
          <w:bCs/>
          <w:sz w:val="20"/>
        </w:rPr>
      </w:pPr>
      <w:r>
        <w:rPr>
          <w:rFonts w:ascii="Arial" w:hAnsi="Arial" w:eastAsia="等线" w:cs="Arial"/>
          <w:b/>
          <w:sz w:val="20"/>
        </w:rPr>
        <w:t>Release:</w:t>
      </w:r>
      <w:r>
        <w:rPr>
          <w:rFonts w:ascii="Arial" w:hAnsi="Arial" w:eastAsia="等线" w:cs="Arial"/>
          <w:bCs/>
          <w:sz w:val="20"/>
        </w:rPr>
        <w:tab/>
      </w:r>
      <w:r>
        <w:rPr>
          <w:rFonts w:hint="eastAsia" w:ascii="Arial" w:hAnsi="Arial" w:eastAsia="等线" w:cs="Arial"/>
          <w:bCs/>
          <w:sz w:val="20"/>
        </w:rPr>
        <w:t>Rel-1</w:t>
      </w:r>
      <w:r>
        <w:rPr>
          <w:rFonts w:ascii="Arial" w:hAnsi="Arial" w:eastAsia="等线" w:cs="Arial"/>
          <w:bCs/>
          <w:sz w:val="20"/>
        </w:rPr>
        <w:t>8</w:t>
      </w:r>
    </w:p>
    <w:p>
      <w:pPr>
        <w:spacing w:after="60"/>
        <w:ind w:left="1985" w:hanging="1985"/>
        <w:rPr>
          <w:rFonts w:ascii="Arial" w:hAnsi="Arial" w:eastAsia="等线" w:cs="Arial"/>
          <w:bCs/>
          <w:sz w:val="20"/>
        </w:rPr>
      </w:pPr>
      <w:r>
        <w:rPr>
          <w:rFonts w:ascii="Arial" w:hAnsi="Arial" w:eastAsia="等线" w:cs="Arial"/>
          <w:b/>
          <w:sz w:val="20"/>
        </w:rPr>
        <w:t>Study Item:</w:t>
      </w:r>
      <w:r>
        <w:rPr>
          <w:rFonts w:ascii="Arial" w:hAnsi="Arial" w:eastAsia="等线" w:cs="Arial"/>
          <w:bCs/>
          <w:sz w:val="20"/>
        </w:rPr>
        <w:tab/>
      </w:r>
      <w:r>
        <w:rPr>
          <w:rFonts w:ascii="Arial" w:hAnsi="Arial" w:eastAsia="等线" w:cs="Arial"/>
          <w:bCs/>
          <w:sz w:val="20"/>
        </w:rPr>
        <w:t>NR_ATG</w:t>
      </w:r>
    </w:p>
    <w:p>
      <w:pPr>
        <w:spacing w:after="60"/>
        <w:ind w:left="1985" w:hanging="1985"/>
        <w:rPr>
          <w:rFonts w:ascii="Arial" w:hAnsi="Arial" w:eastAsia="等线" w:cs="Arial"/>
          <w:b/>
          <w:sz w:val="20"/>
        </w:rPr>
      </w:pPr>
    </w:p>
    <w:p>
      <w:pPr>
        <w:spacing w:after="60"/>
        <w:ind w:left="1985" w:hanging="1985"/>
        <w:rPr>
          <w:rFonts w:ascii="Arial" w:hAnsi="Arial" w:eastAsia="MS Mincho" w:cs="Arial"/>
          <w:bCs/>
          <w:sz w:val="20"/>
          <w:lang w:eastAsia="ja-JP"/>
        </w:rPr>
      </w:pPr>
      <w:r>
        <w:rPr>
          <w:rFonts w:ascii="Arial" w:hAnsi="Arial" w:eastAsia="等线" w:cs="Arial"/>
          <w:b/>
          <w:sz w:val="20"/>
        </w:rPr>
        <w:t>Source:</w:t>
      </w:r>
      <w:r>
        <w:rPr>
          <w:rFonts w:ascii="Arial" w:hAnsi="Arial" w:eastAsia="等线" w:cs="Arial"/>
          <w:bCs/>
          <w:color w:val="FF0000"/>
          <w:sz w:val="20"/>
        </w:rPr>
        <w:tab/>
      </w:r>
      <w:r>
        <w:rPr>
          <w:rFonts w:ascii="Arial" w:hAnsi="Arial" w:eastAsia="MS Mincho" w:cs="Arial"/>
          <w:bCs/>
          <w:sz w:val="20"/>
          <w:lang w:eastAsia="ja-JP"/>
        </w:rPr>
        <w:t>TSG RAN WG4</w:t>
      </w:r>
    </w:p>
    <w:p>
      <w:pPr>
        <w:spacing w:after="60"/>
        <w:ind w:left="1985" w:hanging="1985"/>
        <w:rPr>
          <w:rFonts w:hint="default" w:ascii="Arial" w:hAnsi="Arial" w:eastAsia="宋体" w:cs="Arial"/>
          <w:bCs/>
          <w:sz w:val="20"/>
          <w:lang w:val="en-US" w:eastAsia="zh-CN"/>
        </w:rPr>
      </w:pPr>
      <w:r>
        <w:rPr>
          <w:rFonts w:ascii="Arial" w:hAnsi="Arial" w:eastAsia="等线" w:cs="Arial"/>
          <w:b/>
          <w:sz w:val="20"/>
        </w:rPr>
        <w:t>To:</w:t>
      </w:r>
      <w:r>
        <w:rPr>
          <w:rFonts w:ascii="Arial" w:hAnsi="Arial" w:eastAsia="等线" w:cs="Arial"/>
          <w:bCs/>
          <w:sz w:val="20"/>
        </w:rPr>
        <w:tab/>
      </w:r>
      <w:r>
        <w:rPr>
          <w:rFonts w:ascii="Arial" w:hAnsi="Arial" w:eastAsia="等线" w:cs="Arial"/>
          <w:bCs/>
          <w:sz w:val="20"/>
        </w:rPr>
        <w:t xml:space="preserve">TSG </w:t>
      </w:r>
      <w:r>
        <w:rPr>
          <w:rFonts w:ascii="Arial" w:hAnsi="Arial" w:eastAsia="MS Mincho" w:cs="Arial"/>
          <w:bCs/>
          <w:sz w:val="20"/>
          <w:lang w:eastAsia="ja-JP"/>
        </w:rPr>
        <w:t>RAN WG2</w:t>
      </w:r>
    </w:p>
    <w:p>
      <w:pPr>
        <w:spacing w:after="60"/>
        <w:ind w:left="1985" w:hanging="1985"/>
        <w:rPr>
          <w:rFonts w:hint="eastAsia" w:ascii="Arial" w:hAnsi="Arial" w:eastAsia="宋体" w:cs="Arial"/>
          <w:bCs/>
          <w:sz w:val="20"/>
          <w:lang w:val="en-US" w:eastAsia="zh-CN"/>
        </w:rPr>
      </w:pPr>
      <w:r>
        <w:rPr>
          <w:rFonts w:ascii="Arial" w:hAnsi="Arial" w:eastAsia="等线" w:cs="Arial"/>
          <w:b/>
          <w:sz w:val="20"/>
        </w:rPr>
        <w:t>Cc:</w:t>
      </w:r>
      <w:r>
        <w:rPr>
          <w:rFonts w:ascii="Arial" w:hAnsi="Arial" w:eastAsia="等线" w:cs="Arial"/>
          <w:bCs/>
          <w:sz w:val="20"/>
        </w:rPr>
        <w:tab/>
      </w:r>
      <w:r>
        <w:rPr>
          <w:rFonts w:ascii="Arial" w:hAnsi="Arial" w:eastAsia="等线" w:cs="Arial"/>
          <w:bCs/>
          <w:sz w:val="20"/>
        </w:rPr>
        <w:t xml:space="preserve">TSG </w:t>
      </w:r>
      <w:r>
        <w:rPr>
          <w:rFonts w:ascii="Arial" w:hAnsi="Arial" w:eastAsia="MS Mincho" w:cs="Arial"/>
          <w:bCs/>
          <w:sz w:val="20"/>
          <w:lang w:eastAsia="ja-JP"/>
        </w:rPr>
        <w:t>RAN WG</w:t>
      </w:r>
      <w:r>
        <w:rPr>
          <w:rFonts w:hint="eastAsia" w:ascii="Arial" w:hAnsi="Arial" w:eastAsia="宋体" w:cs="Arial"/>
          <w:bCs/>
          <w:sz w:val="20"/>
          <w:lang w:val="en-US" w:eastAsia="zh-CN"/>
        </w:rPr>
        <w:t>1</w:t>
      </w:r>
    </w:p>
    <w:p>
      <w:pPr>
        <w:spacing w:after="60"/>
        <w:ind w:left="1985" w:hanging="1985"/>
        <w:rPr>
          <w:rFonts w:ascii="Arial" w:hAnsi="Arial" w:eastAsia="等线" w:cs="Arial"/>
          <w:bCs/>
          <w:sz w:val="20"/>
        </w:rPr>
      </w:pPr>
    </w:p>
    <w:p>
      <w:pPr>
        <w:tabs>
          <w:tab w:val="left" w:pos="2268"/>
        </w:tabs>
        <w:rPr>
          <w:rFonts w:ascii="Arial" w:hAnsi="Arial" w:eastAsia="等线" w:cs="Arial"/>
          <w:b/>
          <w:sz w:val="20"/>
        </w:rPr>
      </w:pPr>
      <w:r>
        <w:rPr>
          <w:rFonts w:ascii="Arial" w:hAnsi="Arial" w:eastAsia="等线" w:cs="Arial"/>
          <w:b/>
          <w:sz w:val="20"/>
        </w:rPr>
        <w:t>Contact Person:</w:t>
      </w:r>
    </w:p>
    <w:p>
      <w:pPr>
        <w:keepNext/>
        <w:tabs>
          <w:tab w:val="left" w:pos="2268"/>
          <w:tab w:val="left" w:pos="2694"/>
        </w:tabs>
        <w:ind w:left="567"/>
        <w:outlineLvl w:val="9"/>
        <w:rPr>
          <w:rFonts w:ascii="Arial" w:hAnsi="Arial" w:eastAsia="宋体" w:cs="Arial"/>
          <w:bCs/>
          <w:sz w:val="20"/>
          <w:szCs w:val="20"/>
          <w:lang w:val="en-GB" w:eastAsia="en-US"/>
        </w:rPr>
      </w:pPr>
      <w:r>
        <w:rPr>
          <w:rFonts w:ascii="Arial" w:hAnsi="Arial" w:eastAsia="宋体" w:cs="Arial"/>
          <w:b/>
          <w:sz w:val="20"/>
          <w:szCs w:val="20"/>
          <w:lang w:val="en-GB" w:eastAsia="en-US"/>
        </w:rPr>
        <w:t>Name:</w:t>
      </w:r>
      <w:r>
        <w:rPr>
          <w:rFonts w:ascii="Arial" w:hAnsi="Arial" w:eastAsia="宋体" w:cs="Arial"/>
          <w:bCs/>
          <w:sz w:val="20"/>
          <w:szCs w:val="20"/>
          <w:lang w:val="en-GB" w:eastAsia="en-US"/>
        </w:rPr>
        <w:tab/>
      </w:r>
    </w:p>
    <w:p>
      <w:pPr>
        <w:keepNext/>
        <w:tabs>
          <w:tab w:val="left" w:pos="2268"/>
          <w:tab w:val="left" w:pos="2694"/>
        </w:tabs>
        <w:ind w:left="567"/>
        <w:outlineLvl w:val="9"/>
        <w:rPr>
          <w:rFonts w:ascii="Arial" w:hAnsi="Arial" w:eastAsia="宋体" w:cs="Arial"/>
          <w:bCs/>
          <w:sz w:val="20"/>
          <w:szCs w:val="20"/>
          <w:lang w:val="en-GB" w:eastAsia="en-US"/>
        </w:rPr>
      </w:pPr>
      <w:r>
        <w:rPr>
          <w:rFonts w:ascii="Arial" w:hAnsi="Arial" w:eastAsia="宋体" w:cs="Arial"/>
          <w:b/>
          <w:sz w:val="20"/>
          <w:szCs w:val="20"/>
          <w:lang w:val="en-GB" w:eastAsia="en-US"/>
        </w:rPr>
        <w:t>E-mail Address:</w:t>
      </w:r>
      <w:r>
        <w:rPr>
          <w:rFonts w:ascii="Arial" w:hAnsi="Arial" w:eastAsia="宋体" w:cs="Arial"/>
          <w:bCs/>
          <w:sz w:val="20"/>
          <w:szCs w:val="20"/>
          <w:lang w:val="en-GB" w:eastAsia="en-US"/>
        </w:rPr>
        <w:tab/>
      </w:r>
    </w:p>
    <w:p>
      <w:pPr>
        <w:tabs>
          <w:tab w:val="left" w:pos="2268"/>
        </w:tabs>
        <w:rPr>
          <w:rFonts w:ascii="Arial" w:hAnsi="Arial" w:eastAsia="等线" w:cs="Arial"/>
          <w:bCs/>
          <w:sz w:val="20"/>
        </w:rPr>
      </w:pPr>
      <w:r>
        <w:rPr>
          <w:rFonts w:ascii="Arial" w:hAnsi="Arial" w:eastAsia="等线" w:cs="Arial"/>
          <w:bCs/>
          <w:sz w:val="20"/>
        </w:rPr>
        <w:tab/>
      </w:r>
    </w:p>
    <w:p>
      <w:pPr>
        <w:pBdr>
          <w:bottom w:val="single" w:color="auto" w:sz="4" w:space="1"/>
        </w:pBdr>
        <w:rPr>
          <w:rFonts w:ascii="Arial" w:hAnsi="Arial" w:eastAsia="等线" w:cs="Arial"/>
          <w:sz w:val="20"/>
        </w:rPr>
      </w:pPr>
    </w:p>
    <w:p>
      <w:pPr>
        <w:pBdr>
          <w:bottom w:val="single" w:color="auto" w:sz="4" w:space="1"/>
        </w:pBdr>
        <w:rPr>
          <w:rFonts w:ascii="Arial" w:hAnsi="Arial" w:eastAsia="等线" w:cs="Arial"/>
          <w:sz w:val="20"/>
        </w:rPr>
      </w:pPr>
      <w:r>
        <w:rPr>
          <w:rFonts w:hint="eastAsia" w:ascii="Arial" w:hAnsi="Arial" w:eastAsia="等线" w:cs="Arial"/>
          <w:b/>
          <w:bCs/>
          <w:sz w:val="20"/>
        </w:rPr>
        <w:t>A</w:t>
      </w:r>
      <w:r>
        <w:rPr>
          <w:rFonts w:ascii="Arial" w:hAnsi="Arial" w:eastAsia="等线" w:cs="Arial"/>
          <w:b/>
          <w:bCs/>
          <w:sz w:val="20"/>
        </w:rPr>
        <w:t>ttachments:</w:t>
      </w:r>
      <w:r>
        <w:rPr>
          <w:rFonts w:ascii="Arial" w:hAnsi="Arial" w:eastAsia="等线" w:cs="Arial"/>
          <w:sz w:val="20"/>
        </w:rPr>
        <w:t xml:space="preserve"> None</w:t>
      </w:r>
    </w:p>
    <w:p>
      <w:pPr>
        <w:rPr>
          <w:rFonts w:ascii="Arial" w:hAnsi="Arial" w:eastAsia="等线" w:cs="Arial"/>
          <w:sz w:val="20"/>
        </w:rPr>
      </w:pPr>
    </w:p>
    <w:p>
      <w:pPr>
        <w:spacing w:after="120"/>
        <w:rPr>
          <w:rFonts w:ascii="Arial" w:hAnsi="Arial" w:eastAsia="等线" w:cs="Arial"/>
          <w:b/>
          <w:sz w:val="20"/>
        </w:rPr>
      </w:pPr>
      <w:r>
        <w:rPr>
          <w:rFonts w:ascii="Arial" w:hAnsi="Arial" w:eastAsia="等线" w:cs="Arial"/>
          <w:b/>
          <w:sz w:val="20"/>
        </w:rPr>
        <w:t>1. Overall Description:</w:t>
      </w:r>
    </w:p>
    <w:p>
      <w:pPr>
        <w:spacing w:after="312" w:afterLines="100"/>
        <w:jc w:val="both"/>
        <w:rPr>
          <w:rFonts w:hint="eastAsia" w:ascii="Arial" w:hAnsi="Arial" w:eastAsia="等线" w:cs="Arial"/>
          <w:sz w:val="20"/>
          <w:lang w:val="en-US" w:eastAsia="zh-CN"/>
        </w:rPr>
      </w:pPr>
      <w:r>
        <w:rPr>
          <w:rFonts w:hint="eastAsia" w:ascii="Arial" w:hAnsi="Arial" w:eastAsia="等线" w:cs="Arial"/>
          <w:sz w:val="20"/>
          <w:lang w:val="en-US" w:eastAsia="zh-CN"/>
        </w:rPr>
        <w:t xml:space="preserve">R18 ATG reused out-of-order operation to support new TDD pattern (30D4S6U) scheduling, which is basically same as R16 UE capability </w:t>
      </w:r>
      <w:r>
        <w:rPr>
          <w:rFonts w:hint="eastAsia" w:ascii="Arial" w:hAnsi="Arial" w:eastAsia="等线" w:cs="Arial"/>
          <w:i/>
          <w:iCs/>
          <w:sz w:val="20"/>
          <w:lang w:val="en-US" w:eastAsia="zh-CN"/>
        </w:rPr>
        <w:t>outOfOrderOperationDL-r16</w:t>
      </w:r>
      <w:r>
        <w:rPr>
          <w:rFonts w:hint="eastAsia" w:ascii="Arial" w:hAnsi="Arial" w:eastAsia="等线" w:cs="Arial"/>
          <w:sz w:val="20"/>
          <w:lang w:val="en-US" w:eastAsia="zh-CN"/>
        </w:rPr>
        <w:t xml:space="preserve"> in TS 38.306.</w:t>
      </w:r>
    </w:p>
    <w:tbl>
      <w:tblPr>
        <w:tblStyle w:val="25"/>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6917" w:type="dxa"/>
          </w:tcPr>
          <w:p>
            <w:pPr>
              <w:pStyle w:val="60"/>
              <w:widowControl/>
              <w:suppressLineNumbers w:val="0"/>
              <w:spacing w:before="0" w:beforeAutospacing="0" w:after="0" w:afterAutospacing="0"/>
              <w:ind w:left="0" w:right="0"/>
              <w:rPr>
                <w:rFonts w:hint="default"/>
                <w:b/>
                <w:bCs/>
                <w:i/>
                <w:iCs/>
                <w:szCs w:val="20"/>
              </w:rPr>
            </w:pPr>
            <w:r>
              <w:rPr>
                <w:rFonts w:hint="default"/>
                <w:b/>
                <w:bCs/>
                <w:i/>
                <w:iCs/>
                <w:szCs w:val="20"/>
              </w:rPr>
              <w:t>outOfOrderOperationDL-r16</w:t>
            </w:r>
          </w:p>
          <w:p>
            <w:pPr>
              <w:pStyle w:val="60"/>
              <w:widowControl/>
              <w:suppressLineNumbers w:val="0"/>
              <w:spacing w:before="0" w:beforeAutospacing="0" w:after="0" w:afterAutospacing="0"/>
              <w:ind w:left="0" w:right="0"/>
              <w:rPr>
                <w:rFonts w:hint="default"/>
                <w:i/>
                <w:iCs/>
                <w:szCs w:val="20"/>
              </w:rPr>
            </w:pPr>
            <w:r>
              <w:rPr>
                <w:rFonts w:hint="default"/>
                <w:szCs w:val="20"/>
              </w:rPr>
              <w:t xml:space="preserve">Indicates whether the UE supports out of order operation for DL. </w:t>
            </w:r>
            <w:r>
              <w:rPr>
                <w:rFonts w:hint="default" w:cs="Arial"/>
                <w:szCs w:val="18"/>
              </w:rPr>
              <w:t>The UE that indicates support of this feature shall support</w:t>
            </w:r>
            <w:r>
              <w:rPr>
                <w:rFonts w:hint="default"/>
                <w:szCs w:val="20"/>
              </w:rPr>
              <w:t xml:space="preserve"> </w:t>
            </w:r>
            <w:r>
              <w:rPr>
                <w:rFonts w:hint="default"/>
                <w:i/>
                <w:iCs/>
                <w:szCs w:val="20"/>
              </w:rPr>
              <w:t>multiDCI-MultiTRP-r16</w:t>
            </w:r>
            <w:r>
              <w:rPr>
                <w:rFonts w:hint="default"/>
                <w:szCs w:val="20"/>
              </w:rPr>
              <w:t>. The capability signalling comprises the following parameters:</w:t>
            </w:r>
          </w:p>
          <w:p>
            <w:pPr>
              <w:pStyle w:val="49"/>
              <w:keepNext w:val="0"/>
              <w:keepLines w:val="0"/>
              <w:widowControl/>
              <w:suppressLineNumbers w:val="0"/>
              <w:spacing w:before="0" w:beforeAutospacing="0" w:after="0" w:afterAutospacing="0"/>
              <w:ind w:right="0"/>
              <w:rPr>
                <w:rFonts w:hint="default" w:ascii="Arial" w:hAnsi="Arial" w:cs="Arial"/>
                <w:sz w:val="18"/>
                <w:szCs w:val="18"/>
              </w:rPr>
            </w:pPr>
            <w:r>
              <w:rPr>
                <w:rFonts w:hint="default" w:ascii="Arial" w:hAnsi="Arial" w:cs="Arial"/>
                <w:i/>
                <w:sz w:val="18"/>
                <w:szCs w:val="18"/>
              </w:rPr>
              <w:t>-</w:t>
            </w:r>
            <w:r>
              <w:rPr>
                <w:rFonts w:hint="default" w:ascii="Arial" w:hAnsi="Arial" w:cs="Arial"/>
                <w:i/>
                <w:sz w:val="18"/>
                <w:szCs w:val="18"/>
              </w:rPr>
              <w:tab/>
            </w:r>
            <w:r>
              <w:rPr>
                <w:rFonts w:hint="default" w:ascii="Arial" w:hAnsi="Arial" w:cs="Arial"/>
                <w:i/>
                <w:sz w:val="18"/>
                <w:szCs w:val="18"/>
              </w:rPr>
              <w:t>supportPDCCH-ToPDSCH-r16</w:t>
            </w:r>
            <w:r>
              <w:rPr>
                <w:rFonts w:hint="default" w:ascii="Arial" w:hAnsi="Arial" w:cs="Arial"/>
                <w:sz w:val="18"/>
                <w:szCs w:val="18"/>
              </w:rPr>
              <w:t xml:space="preserve"> indicates support out-of-order operation for PDCCH to PDSCH;</w:t>
            </w:r>
          </w:p>
          <w:p>
            <w:pPr>
              <w:pStyle w:val="49"/>
              <w:keepNext w:val="0"/>
              <w:keepLines w:val="0"/>
              <w:widowControl/>
              <w:suppressLineNumbers w:val="0"/>
              <w:spacing w:before="0" w:beforeAutospacing="0" w:after="0" w:afterAutospacing="0"/>
              <w:ind w:right="0"/>
              <w:rPr>
                <w:rFonts w:hint="default" w:ascii="Arial" w:hAnsi="Arial" w:cs="Arial"/>
                <w:i/>
                <w:sz w:val="18"/>
                <w:szCs w:val="18"/>
              </w:rPr>
            </w:pPr>
            <w:r>
              <w:rPr>
                <w:rFonts w:hint="default" w:ascii="Arial" w:hAnsi="Arial" w:cs="Arial"/>
                <w:i/>
                <w:sz w:val="18"/>
                <w:szCs w:val="18"/>
              </w:rPr>
              <w:t>-</w:t>
            </w:r>
            <w:r>
              <w:rPr>
                <w:rFonts w:hint="default" w:ascii="Arial" w:hAnsi="Arial" w:cs="Arial"/>
                <w:i/>
                <w:sz w:val="18"/>
                <w:szCs w:val="18"/>
              </w:rPr>
              <w:tab/>
            </w:r>
            <w:r>
              <w:rPr>
                <w:rFonts w:hint="default" w:ascii="Arial" w:hAnsi="Arial" w:cs="Arial"/>
                <w:i/>
                <w:sz w:val="18"/>
                <w:szCs w:val="18"/>
              </w:rPr>
              <w:t>supportPDSCH-ToHARQ-ACK-r16</w:t>
            </w:r>
            <w:r>
              <w:rPr>
                <w:rFonts w:hint="default" w:ascii="Arial" w:hAnsi="Arial" w:cs="Arial"/>
                <w:sz w:val="18"/>
                <w:szCs w:val="18"/>
              </w:rPr>
              <w:t xml:space="preserve"> indicates support out-of-order operation for PDSCH to HARQ-ACK.</w:t>
            </w:r>
          </w:p>
        </w:tc>
        <w:tc>
          <w:tcPr>
            <w:tcW w:w="709" w:type="dxa"/>
          </w:tcPr>
          <w:p>
            <w:pPr>
              <w:pStyle w:val="60"/>
              <w:widowControl/>
              <w:suppressLineNumbers w:val="0"/>
              <w:spacing w:before="0" w:beforeAutospacing="0" w:after="0" w:afterAutospacing="0"/>
              <w:ind w:left="0" w:right="0"/>
              <w:jc w:val="center"/>
              <w:rPr>
                <w:rFonts w:hint="default"/>
                <w:bCs/>
                <w:iCs/>
                <w:szCs w:val="20"/>
              </w:rPr>
            </w:pPr>
            <w:r>
              <w:rPr>
                <w:rFonts w:hint="default"/>
                <w:bCs/>
                <w:iCs/>
                <w:szCs w:val="20"/>
              </w:rPr>
              <w:t>Band</w:t>
            </w:r>
          </w:p>
        </w:tc>
        <w:tc>
          <w:tcPr>
            <w:tcW w:w="567" w:type="dxa"/>
          </w:tcPr>
          <w:p>
            <w:pPr>
              <w:pStyle w:val="60"/>
              <w:widowControl/>
              <w:suppressLineNumbers w:val="0"/>
              <w:spacing w:before="0" w:beforeAutospacing="0" w:after="0" w:afterAutospacing="0"/>
              <w:ind w:left="0" w:right="0"/>
              <w:jc w:val="center"/>
              <w:rPr>
                <w:rFonts w:hint="default"/>
                <w:bCs/>
                <w:iCs/>
                <w:szCs w:val="20"/>
              </w:rPr>
            </w:pPr>
            <w:r>
              <w:rPr>
                <w:rFonts w:hint="default"/>
                <w:bCs/>
                <w:iCs/>
                <w:szCs w:val="20"/>
              </w:rPr>
              <w:t>No</w:t>
            </w:r>
          </w:p>
        </w:tc>
        <w:tc>
          <w:tcPr>
            <w:tcW w:w="709" w:type="dxa"/>
          </w:tcPr>
          <w:p>
            <w:pPr>
              <w:pStyle w:val="60"/>
              <w:widowControl/>
              <w:suppressLineNumbers w:val="0"/>
              <w:spacing w:before="0" w:beforeAutospacing="0" w:after="0" w:afterAutospacing="0"/>
              <w:ind w:left="0" w:right="0"/>
              <w:jc w:val="center"/>
              <w:rPr>
                <w:rFonts w:hint="default"/>
                <w:bCs/>
                <w:iCs/>
                <w:szCs w:val="20"/>
              </w:rPr>
            </w:pPr>
            <w:r>
              <w:rPr>
                <w:rFonts w:hint="default"/>
                <w:bCs/>
                <w:iCs/>
                <w:szCs w:val="20"/>
              </w:rPr>
              <w:t>N/A</w:t>
            </w:r>
          </w:p>
        </w:tc>
        <w:tc>
          <w:tcPr>
            <w:tcW w:w="728" w:type="dxa"/>
          </w:tcPr>
          <w:p>
            <w:pPr>
              <w:pStyle w:val="60"/>
              <w:widowControl/>
              <w:suppressLineNumbers w:val="0"/>
              <w:spacing w:before="0" w:beforeAutospacing="0" w:after="0" w:afterAutospacing="0"/>
              <w:ind w:left="0" w:right="0"/>
              <w:jc w:val="center"/>
              <w:rPr>
                <w:rFonts w:hint="default"/>
                <w:szCs w:val="20"/>
              </w:rPr>
            </w:pPr>
            <w:r>
              <w:rPr>
                <w:rFonts w:hint="default"/>
                <w:szCs w:val="20"/>
              </w:rPr>
              <w:t>N/A</w:t>
            </w:r>
          </w:p>
        </w:tc>
      </w:tr>
    </w:tbl>
    <w:p>
      <w:pPr>
        <w:spacing w:after="312" w:afterLines="100"/>
        <w:jc w:val="both"/>
        <w:rPr>
          <w:rFonts w:hint="default" w:ascii="Arial" w:hAnsi="Arial" w:eastAsia="等线" w:cs="Arial"/>
          <w:sz w:val="20"/>
          <w:lang w:val="en-US" w:eastAsia="zh-CN"/>
        </w:rPr>
      </w:pPr>
      <w:r>
        <w:rPr>
          <w:rFonts w:hint="eastAsia" w:ascii="Arial" w:hAnsi="Arial" w:eastAsia="等线" w:cs="Arial"/>
          <w:sz w:val="20"/>
          <w:lang w:val="en-US" w:eastAsia="zh-CN"/>
        </w:rPr>
        <w:t xml:space="preserve">However, RAN4 found that if UE indicates support </w:t>
      </w:r>
      <w:r>
        <w:rPr>
          <w:rFonts w:hint="eastAsia" w:ascii="Arial" w:hAnsi="Arial" w:eastAsia="等线" w:cs="Arial"/>
          <w:i/>
          <w:iCs/>
          <w:sz w:val="20"/>
          <w:lang w:val="en-US" w:eastAsia="zh-CN"/>
        </w:rPr>
        <w:t>outOfOrderOperationDL-r16</w:t>
      </w:r>
      <w:r>
        <w:rPr>
          <w:rFonts w:hint="eastAsia" w:ascii="Arial" w:hAnsi="Arial" w:eastAsia="等线" w:cs="Arial"/>
          <w:i w:val="0"/>
          <w:iCs w:val="0"/>
          <w:sz w:val="20"/>
          <w:lang w:val="en-US" w:eastAsia="zh-CN"/>
        </w:rPr>
        <w:t xml:space="preserve"> feature, it also shall support</w:t>
      </w:r>
      <w:r>
        <w:rPr>
          <w:rFonts w:hint="eastAsia" w:ascii="Arial" w:hAnsi="Arial" w:eastAsia="等线" w:cs="Arial"/>
          <w:i/>
          <w:iCs/>
          <w:sz w:val="20"/>
          <w:lang w:val="en-US" w:eastAsia="zh-CN"/>
        </w:rPr>
        <w:t xml:space="preserve"> multiDCI-MultiTRP-r16. </w:t>
      </w:r>
      <w:r>
        <w:rPr>
          <w:rFonts w:hint="eastAsia" w:ascii="Arial" w:hAnsi="Arial" w:eastAsia="等线" w:cs="Arial"/>
          <w:sz w:val="20"/>
          <w:lang w:val="en-US" w:eastAsia="zh-CN"/>
        </w:rPr>
        <w:t>Currently, R18 ATG feature can</w:t>
      </w:r>
      <w:r>
        <w:rPr>
          <w:rFonts w:hint="default" w:ascii="Arial" w:hAnsi="Arial" w:eastAsia="等线" w:cs="Arial"/>
          <w:sz w:val="20"/>
          <w:lang w:val="en-US" w:eastAsia="zh-CN"/>
        </w:rPr>
        <w:t>’</w:t>
      </w:r>
      <w:r>
        <w:rPr>
          <w:rFonts w:hint="eastAsia" w:ascii="Arial" w:hAnsi="Arial" w:eastAsia="等线" w:cs="Arial"/>
          <w:sz w:val="20"/>
          <w:lang w:val="en-US" w:eastAsia="zh-CN"/>
        </w:rPr>
        <w:t>t support</w:t>
      </w:r>
      <w:r>
        <w:rPr>
          <w:rFonts w:hint="eastAsia" w:ascii="Arial" w:hAnsi="Arial" w:eastAsia="等线" w:cs="Arial"/>
          <w:i/>
          <w:iCs/>
          <w:sz w:val="20"/>
          <w:lang w:val="en-US" w:eastAsia="zh-CN"/>
        </w:rPr>
        <w:t xml:space="preserve"> multiDCI-MultiTRP. </w:t>
      </w:r>
      <w:r>
        <w:rPr>
          <w:rFonts w:hint="eastAsia" w:ascii="Arial" w:hAnsi="Arial" w:eastAsia="等线" w:cs="Arial"/>
          <w:sz w:val="20"/>
          <w:lang w:val="en-US" w:eastAsia="zh-CN"/>
        </w:rPr>
        <w:t>Therefore, RAN4 would like to introduce a new UE capability</w:t>
      </w:r>
      <w:r>
        <w:rPr>
          <w:rFonts w:hint="eastAsia" w:ascii="Arial" w:hAnsi="Arial" w:eastAsia="等线" w:cs="Arial"/>
          <w:i/>
          <w:iCs/>
          <w:sz w:val="20"/>
          <w:lang w:val="en-US" w:eastAsia="zh-CN"/>
        </w:rPr>
        <w:t xml:space="preserve"> outOfOrderOperationDLATG-r18 </w:t>
      </w:r>
      <w:r>
        <w:rPr>
          <w:rFonts w:hint="eastAsia" w:ascii="Arial" w:hAnsi="Arial" w:eastAsia="等线" w:cs="Arial"/>
          <w:sz w:val="20"/>
          <w:lang w:val="en-US" w:eastAsia="zh-CN"/>
        </w:rPr>
        <w:t>only support out-of-order operation for PDSCH to HARQ-ACK on R18 ATG.</w:t>
      </w:r>
    </w:p>
    <w:p>
      <w:pPr>
        <w:spacing w:after="312" w:afterLines="100"/>
        <w:jc w:val="both"/>
        <w:rPr>
          <w:rFonts w:hint="default" w:ascii="Arial" w:hAnsi="Arial" w:eastAsia="等线" w:cs="Arial"/>
          <w:sz w:val="20"/>
          <w:lang w:val="en-US" w:eastAsia="zh-CN"/>
        </w:rPr>
      </w:pPr>
    </w:p>
    <w:p>
      <w:pPr>
        <w:spacing w:after="120"/>
        <w:jc w:val="both"/>
        <w:rPr>
          <w:rFonts w:ascii="Arial" w:hAnsi="Arial" w:eastAsia="等线" w:cs="Arial"/>
          <w:b/>
          <w:sz w:val="20"/>
        </w:rPr>
      </w:pPr>
      <w:r>
        <w:rPr>
          <w:rFonts w:ascii="Arial" w:hAnsi="Arial" w:eastAsia="等线" w:cs="Arial"/>
          <w:b/>
          <w:sz w:val="20"/>
        </w:rPr>
        <w:t>2. Actions:</w:t>
      </w:r>
    </w:p>
    <w:p>
      <w:pPr>
        <w:spacing w:after="120"/>
        <w:ind w:left="1985" w:hanging="1985"/>
        <w:jc w:val="both"/>
        <w:rPr>
          <w:rFonts w:ascii="Arial" w:hAnsi="Arial" w:eastAsia="等线" w:cs="Arial"/>
          <w:b/>
          <w:color w:val="000000"/>
          <w:sz w:val="20"/>
        </w:rPr>
      </w:pPr>
      <w:r>
        <w:rPr>
          <w:rFonts w:ascii="Arial" w:hAnsi="Arial" w:eastAsia="等线" w:cs="Arial"/>
          <w:b/>
          <w:color w:val="000000"/>
          <w:sz w:val="20"/>
        </w:rPr>
        <w:t>To</w:t>
      </w:r>
      <w:r>
        <w:rPr>
          <w:rFonts w:hint="eastAsia" w:ascii="Arial" w:hAnsi="Arial" w:eastAsia="等线" w:cs="Arial"/>
          <w:b/>
          <w:color w:val="000000"/>
          <w:sz w:val="20"/>
        </w:rPr>
        <w:t xml:space="preserve"> </w:t>
      </w:r>
      <w:r>
        <w:rPr>
          <w:rFonts w:ascii="Arial" w:hAnsi="Arial" w:eastAsia="等线" w:cs="Arial"/>
          <w:b/>
          <w:color w:val="000000"/>
          <w:sz w:val="20"/>
        </w:rPr>
        <w:t>RAN2</w:t>
      </w:r>
    </w:p>
    <w:p>
      <w:pPr>
        <w:spacing w:after="120"/>
        <w:ind w:left="993" w:hanging="993"/>
        <w:jc w:val="both"/>
        <w:rPr>
          <w:rFonts w:hint="default" w:ascii="Arial" w:hAnsi="Arial" w:eastAsia="等线" w:cs="Arial"/>
          <w:bCs/>
          <w:color w:val="000000"/>
          <w:sz w:val="20"/>
          <w:lang w:val="en-US" w:eastAsia="zh-CN"/>
        </w:rPr>
      </w:pPr>
      <w:r>
        <w:rPr>
          <w:rFonts w:ascii="Arial" w:hAnsi="Arial" w:eastAsia="等线" w:cs="Arial"/>
          <w:b/>
          <w:color w:val="000000"/>
          <w:sz w:val="20"/>
        </w:rPr>
        <w:t xml:space="preserve">ACTION: </w:t>
      </w:r>
      <w:r>
        <w:rPr>
          <w:rFonts w:ascii="Arial" w:hAnsi="Arial" w:eastAsia="等线" w:cs="Arial"/>
          <w:b/>
          <w:color w:val="000000"/>
          <w:sz w:val="20"/>
        </w:rPr>
        <w:tab/>
      </w:r>
      <w:r>
        <w:rPr>
          <w:rFonts w:ascii="Arial" w:hAnsi="Arial" w:eastAsia="等线" w:cs="Arial"/>
          <w:bCs/>
          <w:color w:val="000000"/>
          <w:sz w:val="20"/>
        </w:rPr>
        <w:t xml:space="preserve">RAN4 </w:t>
      </w:r>
      <w:r>
        <w:rPr>
          <w:rFonts w:hint="eastAsia" w:ascii="Arial" w:hAnsi="Arial" w:eastAsia="等线" w:cs="Arial"/>
          <w:bCs/>
          <w:color w:val="000000"/>
          <w:sz w:val="20"/>
          <w:lang w:val="en-US" w:eastAsia="zh-CN"/>
        </w:rPr>
        <w:t xml:space="preserve">kindly </w:t>
      </w:r>
      <w:r>
        <w:rPr>
          <w:rFonts w:ascii="Arial" w:hAnsi="Arial" w:eastAsia="等线" w:cs="Arial"/>
          <w:bCs/>
          <w:color w:val="000000"/>
          <w:sz w:val="20"/>
        </w:rPr>
        <w:t>requests RAN</w:t>
      </w:r>
      <w:r>
        <w:rPr>
          <w:rFonts w:hint="eastAsia" w:ascii="Arial" w:hAnsi="Arial" w:eastAsia="等线" w:cs="Arial"/>
          <w:bCs/>
          <w:color w:val="000000"/>
          <w:sz w:val="20"/>
          <w:lang w:val="en-US" w:eastAsia="zh-CN"/>
        </w:rPr>
        <w:t>2</w:t>
      </w:r>
      <w:r>
        <w:rPr>
          <w:rFonts w:ascii="Arial" w:hAnsi="Arial" w:eastAsia="等线" w:cs="Arial"/>
          <w:bCs/>
          <w:color w:val="000000"/>
          <w:sz w:val="20"/>
        </w:rPr>
        <w:t xml:space="preserve"> to</w:t>
      </w:r>
      <w:r>
        <w:rPr>
          <w:rFonts w:hint="eastAsia" w:ascii="Arial" w:hAnsi="Arial" w:eastAsia="等线" w:cs="Arial"/>
          <w:bCs/>
          <w:color w:val="000000"/>
          <w:sz w:val="20"/>
          <w:lang w:val="en-US" w:eastAsia="zh-CN"/>
        </w:rPr>
        <w:t xml:space="preserve"> take</w:t>
      </w:r>
      <w:r>
        <w:rPr>
          <w:rFonts w:ascii="Arial" w:hAnsi="Arial" w:eastAsia="等线" w:cs="Arial"/>
          <w:bCs/>
          <w:color w:val="000000"/>
          <w:sz w:val="20"/>
        </w:rPr>
        <w:t xml:space="preserve"> above information into consideration</w:t>
      </w:r>
      <w:r>
        <w:rPr>
          <w:rFonts w:hint="eastAsia" w:ascii="Arial" w:hAnsi="Arial" w:eastAsia="等线" w:cs="Arial"/>
          <w:bCs/>
          <w:color w:val="000000"/>
          <w:sz w:val="20"/>
          <w:lang w:val="en-US" w:eastAsia="zh-CN"/>
        </w:rPr>
        <w:t xml:space="preserve">, and introduce a new UE capability to support </w:t>
      </w:r>
      <w:r>
        <w:rPr>
          <w:rFonts w:hint="eastAsia" w:ascii="Arial" w:hAnsi="Arial" w:eastAsia="等线" w:cs="Arial"/>
          <w:sz w:val="20"/>
          <w:lang w:val="en-US" w:eastAsia="zh-CN"/>
        </w:rPr>
        <w:t>out-of-order</w:t>
      </w:r>
      <w:r>
        <w:rPr>
          <w:rFonts w:hint="eastAsia" w:ascii="Arial" w:hAnsi="Arial" w:eastAsia="等线" w:cs="Arial"/>
          <w:bCs/>
          <w:color w:val="000000"/>
          <w:sz w:val="20"/>
          <w:lang w:val="en-US" w:eastAsia="zh-CN"/>
        </w:rPr>
        <w:t xml:space="preserve"> operation</w:t>
      </w:r>
      <w:r>
        <w:rPr>
          <w:rFonts w:hint="eastAsia" w:ascii="Arial" w:hAnsi="Arial" w:eastAsia="等线" w:cs="Arial"/>
          <w:i/>
          <w:iCs/>
          <w:sz w:val="20"/>
          <w:lang w:val="en-US" w:eastAsia="zh-CN"/>
        </w:rPr>
        <w:t xml:space="preserve"> </w:t>
      </w:r>
      <w:r>
        <w:rPr>
          <w:rFonts w:hint="eastAsia" w:ascii="Arial" w:hAnsi="Arial" w:eastAsia="等线" w:cs="Arial"/>
          <w:bCs/>
          <w:color w:val="000000"/>
          <w:sz w:val="20"/>
          <w:lang w:val="en-US" w:eastAsia="zh-CN"/>
        </w:rPr>
        <w:t>for R18 ATG feature.</w:t>
      </w:r>
    </w:p>
    <w:p>
      <w:pPr>
        <w:spacing w:after="120"/>
        <w:ind w:left="993" w:hanging="993"/>
        <w:jc w:val="both"/>
        <w:rPr>
          <w:rFonts w:ascii="Arial" w:hAnsi="Arial" w:eastAsia="等线" w:cs="Arial"/>
          <w:sz w:val="20"/>
        </w:rPr>
      </w:pPr>
    </w:p>
    <w:p>
      <w:pPr>
        <w:tabs>
          <w:tab w:val="left" w:pos="5507"/>
        </w:tabs>
        <w:rPr>
          <w:rFonts w:ascii="Arial" w:hAnsi="Arial" w:eastAsia="等线" w:cs="Arial"/>
          <w:b/>
          <w:sz w:val="20"/>
        </w:rPr>
      </w:pPr>
      <w:r>
        <w:rPr>
          <w:rFonts w:ascii="Arial" w:hAnsi="Arial" w:eastAsia="等线" w:cs="Arial"/>
          <w:b/>
          <w:sz w:val="20"/>
        </w:rPr>
        <w:t>3. Date of Next TSG-RAN WG4 Meetings:</w:t>
      </w:r>
      <w:r>
        <w:rPr>
          <w:rFonts w:ascii="Arial" w:hAnsi="Arial" w:eastAsia="等线" w:cs="Arial"/>
          <w:b/>
          <w:sz w:val="20"/>
        </w:rPr>
        <w:tab/>
      </w:r>
    </w:p>
    <w:p>
      <w:pPr>
        <w:tabs>
          <w:tab w:val="left" w:pos="4430"/>
        </w:tabs>
        <w:ind w:left="2268" w:hanging="2268"/>
        <w:rPr>
          <w:rFonts w:hint="default" w:ascii="Arial" w:hAnsi="Arial" w:eastAsia="宋体" w:cs="Arial"/>
          <w:bCs/>
          <w:sz w:val="20"/>
          <w:szCs w:val="20"/>
          <w:lang w:val="en-US" w:eastAsia="zh-CN"/>
        </w:rPr>
      </w:pPr>
      <w:r>
        <w:rPr>
          <w:rFonts w:ascii="Arial" w:hAnsi="Arial" w:eastAsia="宋体" w:cs="Arial"/>
          <w:bCs/>
          <w:sz w:val="20"/>
          <w:szCs w:val="20"/>
          <w:lang w:val="en-GB" w:eastAsia="en-US"/>
        </w:rPr>
        <w:t>TSG-RAN WG4 Meeting #1</w:t>
      </w:r>
      <w:r>
        <w:rPr>
          <w:rFonts w:hint="eastAsia" w:ascii="Arial" w:hAnsi="Arial" w:eastAsia="宋体" w:cs="Arial"/>
          <w:bCs/>
          <w:sz w:val="20"/>
          <w:szCs w:val="20"/>
          <w:lang w:val="en-US" w:eastAsia="zh-CN"/>
        </w:rPr>
        <w:t>1</w:t>
      </w:r>
      <w:r>
        <w:rPr>
          <w:rFonts w:hint="eastAsia" w:ascii="Arial" w:hAnsi="Arial" w:cs="Arial"/>
          <w:bCs/>
          <w:sz w:val="20"/>
          <w:szCs w:val="20"/>
          <w:lang w:val="en-US" w:eastAsia="zh-CN"/>
        </w:rPr>
        <w:t>4bis</w:t>
      </w:r>
      <w:r>
        <w:rPr>
          <w:rFonts w:ascii="Arial" w:hAnsi="Arial" w:eastAsia="宋体" w:cs="Arial"/>
          <w:bCs/>
          <w:sz w:val="20"/>
          <w:szCs w:val="20"/>
          <w:lang w:val="en-GB" w:eastAsia="en-US"/>
        </w:rPr>
        <w:t xml:space="preserve"> </w:t>
      </w:r>
      <w:r>
        <w:rPr>
          <w:rFonts w:ascii="Arial" w:hAnsi="Arial" w:eastAsia="宋体" w:cs="Arial"/>
          <w:bCs/>
          <w:sz w:val="20"/>
          <w:szCs w:val="20"/>
          <w:lang w:val="en-GB" w:eastAsia="en-US"/>
        </w:rPr>
        <w:tab/>
      </w:r>
      <w:r>
        <w:rPr>
          <w:rFonts w:hint="eastAsia" w:ascii="Arial" w:hAnsi="Arial" w:cs="Arial"/>
          <w:bCs/>
          <w:sz w:val="20"/>
          <w:szCs w:val="20"/>
          <w:lang w:val="en-US" w:eastAsia="zh-CN"/>
        </w:rPr>
        <w:t xml:space="preserve"> 4</w:t>
      </w:r>
      <w:r>
        <w:rPr>
          <w:rFonts w:hint="eastAsia" w:ascii="Arial" w:hAnsi="Arial" w:eastAsia="宋体" w:cs="Arial"/>
          <w:bCs/>
          <w:sz w:val="20"/>
          <w:szCs w:val="20"/>
          <w:lang w:val="en-GB" w:eastAsia="en-US"/>
        </w:rPr>
        <w:t xml:space="preserve"> A</w:t>
      </w:r>
      <w:r>
        <w:rPr>
          <w:rFonts w:hint="eastAsia" w:ascii="Arial" w:hAnsi="Arial" w:cs="Arial"/>
          <w:bCs/>
          <w:sz w:val="20"/>
          <w:szCs w:val="20"/>
          <w:lang w:val="en-US" w:eastAsia="zh-CN"/>
        </w:rPr>
        <w:t>pr</w:t>
      </w:r>
      <w:r>
        <w:rPr>
          <w:rFonts w:hint="eastAsia" w:ascii="Arial" w:hAnsi="Arial" w:eastAsia="宋体" w:cs="Arial"/>
          <w:bCs/>
          <w:sz w:val="20"/>
          <w:szCs w:val="20"/>
          <w:lang w:val="en-GB" w:eastAsia="en-US"/>
        </w:rPr>
        <w:t xml:space="preserve"> </w:t>
      </w:r>
      <w:r>
        <w:rPr>
          <w:rFonts w:hint="eastAsia" w:ascii="Arial" w:hAnsi="Arial" w:eastAsia="宋体" w:cs="Arial"/>
          <w:bCs/>
          <w:sz w:val="20"/>
          <w:szCs w:val="20"/>
          <w:lang w:val="en-US" w:eastAsia="zh-CN"/>
        </w:rPr>
        <w:t xml:space="preserve">- </w:t>
      </w:r>
      <w:r>
        <w:rPr>
          <w:rFonts w:hint="eastAsia" w:ascii="Arial" w:hAnsi="Arial" w:cs="Arial"/>
          <w:bCs/>
          <w:sz w:val="20"/>
          <w:szCs w:val="20"/>
          <w:lang w:val="en-US" w:eastAsia="zh-CN"/>
        </w:rPr>
        <w:t>11</w:t>
      </w:r>
      <w:r>
        <w:rPr>
          <w:rFonts w:hint="eastAsia" w:ascii="Arial" w:hAnsi="Arial" w:eastAsia="宋体" w:cs="Arial"/>
          <w:bCs/>
          <w:sz w:val="20"/>
          <w:szCs w:val="20"/>
          <w:lang w:val="en-US" w:eastAsia="zh-CN"/>
        </w:rPr>
        <w:t xml:space="preserve"> </w:t>
      </w:r>
      <w:r>
        <w:rPr>
          <w:rFonts w:hint="eastAsia" w:ascii="Arial" w:hAnsi="Arial" w:cs="Arial"/>
          <w:bCs/>
          <w:sz w:val="20"/>
          <w:szCs w:val="20"/>
          <w:lang w:val="en-US" w:eastAsia="zh-CN"/>
        </w:rPr>
        <w:t>Apr</w:t>
      </w:r>
      <w:r>
        <w:rPr>
          <w:rFonts w:ascii="Arial" w:hAnsi="Arial" w:eastAsia="宋体" w:cs="Arial"/>
          <w:bCs/>
          <w:sz w:val="20"/>
          <w:szCs w:val="20"/>
          <w:lang w:val="en-GB" w:eastAsia="en-US"/>
        </w:rPr>
        <w:t xml:space="preserve"> 202</w:t>
      </w:r>
      <w:r>
        <w:rPr>
          <w:rFonts w:hint="eastAsia" w:ascii="Arial" w:hAnsi="Arial" w:cs="Arial"/>
          <w:bCs/>
          <w:sz w:val="20"/>
          <w:szCs w:val="20"/>
          <w:lang w:val="en-US" w:eastAsia="zh-CN"/>
        </w:rPr>
        <w:t>5</w:t>
      </w:r>
      <w:r>
        <w:rPr>
          <w:rFonts w:ascii="Arial" w:hAnsi="Arial" w:eastAsia="宋体" w:cs="Arial"/>
          <w:bCs/>
          <w:sz w:val="20"/>
          <w:szCs w:val="20"/>
          <w:lang w:val="en-GB" w:eastAsia="en-US"/>
        </w:rPr>
        <w:tab/>
      </w:r>
      <w:r>
        <w:rPr>
          <w:rFonts w:ascii="Arial" w:hAnsi="Arial" w:eastAsia="宋体" w:cs="Arial"/>
          <w:bCs/>
          <w:sz w:val="20"/>
          <w:szCs w:val="20"/>
          <w:lang w:val="en-GB" w:eastAsia="en-US"/>
        </w:rPr>
        <w:t xml:space="preserve">       </w:t>
      </w:r>
      <w:r>
        <w:rPr>
          <w:rFonts w:hint="eastAsia" w:ascii="Arial" w:hAnsi="Arial" w:cs="Arial"/>
          <w:bCs/>
          <w:sz w:val="20"/>
          <w:szCs w:val="20"/>
          <w:lang w:val="en-US" w:eastAsia="zh-CN"/>
        </w:rPr>
        <w:t>China, CN</w:t>
      </w:r>
    </w:p>
    <w:p>
      <w:pPr>
        <w:tabs>
          <w:tab w:val="left" w:pos="4430"/>
        </w:tabs>
        <w:ind w:left="2268" w:hanging="2268"/>
        <w:rPr>
          <w:rFonts w:hint="default" w:ascii="Arial" w:hAnsi="Arial" w:eastAsia="宋体" w:cs="Arial"/>
          <w:bCs/>
          <w:sz w:val="20"/>
          <w:szCs w:val="20"/>
          <w:lang w:val="en-US" w:eastAsia="zh-CN"/>
        </w:rPr>
      </w:pPr>
      <w:r>
        <w:rPr>
          <w:rFonts w:ascii="Arial" w:hAnsi="Arial" w:eastAsia="宋体" w:cs="Arial"/>
          <w:bCs/>
          <w:sz w:val="20"/>
          <w:szCs w:val="20"/>
          <w:lang w:val="en-GB" w:eastAsia="en-US"/>
        </w:rPr>
        <w:t>TSG-RAN WG4 Meeting #1</w:t>
      </w:r>
      <w:r>
        <w:rPr>
          <w:rFonts w:hint="eastAsia" w:ascii="Arial" w:hAnsi="Arial" w:eastAsia="宋体" w:cs="Arial"/>
          <w:bCs/>
          <w:sz w:val="20"/>
          <w:szCs w:val="20"/>
          <w:lang w:val="en-US" w:eastAsia="zh-CN"/>
        </w:rPr>
        <w:t>1</w:t>
      </w:r>
      <w:r>
        <w:rPr>
          <w:rFonts w:hint="eastAsia" w:ascii="Arial" w:hAnsi="Arial" w:cs="Arial"/>
          <w:bCs/>
          <w:sz w:val="20"/>
          <w:szCs w:val="20"/>
          <w:lang w:val="en-US" w:eastAsia="zh-CN"/>
        </w:rPr>
        <w:t>5</w:t>
      </w:r>
      <w:r>
        <w:rPr>
          <w:rFonts w:ascii="Arial" w:hAnsi="Arial" w:eastAsia="宋体" w:cs="Arial"/>
          <w:bCs/>
          <w:sz w:val="20"/>
          <w:szCs w:val="20"/>
          <w:lang w:val="en-GB" w:eastAsia="en-US"/>
        </w:rPr>
        <w:t xml:space="preserve"> </w:t>
      </w:r>
      <w:r>
        <w:rPr>
          <w:rFonts w:ascii="Arial" w:hAnsi="Arial" w:eastAsia="宋体" w:cs="Arial"/>
          <w:bCs/>
          <w:sz w:val="20"/>
          <w:szCs w:val="20"/>
          <w:lang w:val="en-GB" w:eastAsia="en-US"/>
        </w:rPr>
        <w:tab/>
      </w:r>
      <w:r>
        <w:rPr>
          <w:rFonts w:hint="eastAsia" w:ascii="Arial" w:hAnsi="Arial" w:eastAsia="宋体" w:cs="Arial"/>
          <w:bCs/>
          <w:sz w:val="20"/>
          <w:szCs w:val="20"/>
          <w:lang w:val="en-GB" w:eastAsia="en-US"/>
        </w:rPr>
        <w:t>1</w:t>
      </w:r>
      <w:r>
        <w:rPr>
          <w:rFonts w:hint="eastAsia" w:ascii="Arial" w:hAnsi="Arial" w:cs="Arial"/>
          <w:bCs/>
          <w:sz w:val="20"/>
          <w:szCs w:val="20"/>
          <w:lang w:val="en-US" w:eastAsia="zh-CN"/>
        </w:rPr>
        <w:t>9</w:t>
      </w:r>
      <w:r>
        <w:rPr>
          <w:rFonts w:hint="eastAsia" w:ascii="Arial" w:hAnsi="Arial" w:eastAsia="宋体" w:cs="Arial"/>
          <w:bCs/>
          <w:sz w:val="20"/>
          <w:szCs w:val="20"/>
          <w:lang w:val="en-GB" w:eastAsia="en-US"/>
        </w:rPr>
        <w:t xml:space="preserve"> </w:t>
      </w:r>
      <w:r>
        <w:rPr>
          <w:rFonts w:hint="eastAsia" w:ascii="Arial" w:hAnsi="Arial" w:cs="Arial"/>
          <w:bCs/>
          <w:sz w:val="20"/>
          <w:szCs w:val="20"/>
          <w:lang w:val="en-US" w:eastAsia="zh-CN"/>
        </w:rPr>
        <w:t>May</w:t>
      </w:r>
      <w:r>
        <w:rPr>
          <w:rFonts w:hint="eastAsia" w:ascii="Arial" w:hAnsi="Arial" w:eastAsia="宋体" w:cs="Arial"/>
          <w:bCs/>
          <w:sz w:val="20"/>
          <w:szCs w:val="20"/>
          <w:lang w:val="en-US" w:eastAsia="zh-CN"/>
        </w:rPr>
        <w:t xml:space="preserve"> - </w:t>
      </w:r>
      <w:r>
        <w:rPr>
          <w:rFonts w:hint="eastAsia" w:ascii="Arial" w:hAnsi="Arial" w:cs="Arial"/>
          <w:bCs/>
          <w:sz w:val="20"/>
          <w:szCs w:val="20"/>
          <w:lang w:val="en-US" w:eastAsia="zh-CN"/>
        </w:rPr>
        <w:t>23</w:t>
      </w:r>
      <w:r>
        <w:rPr>
          <w:rFonts w:hint="eastAsia" w:ascii="Arial" w:hAnsi="Arial" w:eastAsia="宋体" w:cs="Arial"/>
          <w:bCs/>
          <w:sz w:val="20"/>
          <w:szCs w:val="20"/>
          <w:lang w:val="en-GB" w:eastAsia="en-US"/>
        </w:rPr>
        <w:t xml:space="preserve"> </w:t>
      </w:r>
      <w:r>
        <w:rPr>
          <w:rFonts w:hint="eastAsia" w:ascii="Arial" w:hAnsi="Arial" w:cs="Arial"/>
          <w:bCs/>
          <w:sz w:val="20"/>
          <w:szCs w:val="20"/>
          <w:lang w:val="en-US" w:eastAsia="zh-CN"/>
        </w:rPr>
        <w:t>May</w:t>
      </w:r>
      <w:r>
        <w:rPr>
          <w:rFonts w:ascii="Arial" w:hAnsi="Arial" w:eastAsia="宋体" w:cs="Arial"/>
          <w:bCs/>
          <w:sz w:val="20"/>
          <w:szCs w:val="20"/>
          <w:lang w:val="en-GB" w:eastAsia="en-US"/>
        </w:rPr>
        <w:t xml:space="preserve"> 202</w:t>
      </w:r>
      <w:r>
        <w:rPr>
          <w:rFonts w:hint="eastAsia" w:ascii="Arial" w:hAnsi="Arial" w:cs="Arial"/>
          <w:bCs/>
          <w:sz w:val="20"/>
          <w:szCs w:val="20"/>
          <w:lang w:val="en-US" w:eastAsia="zh-CN"/>
        </w:rPr>
        <w:t>5</w:t>
      </w:r>
      <w:r>
        <w:rPr>
          <w:rFonts w:ascii="Arial" w:hAnsi="Arial" w:eastAsia="宋体" w:cs="Arial"/>
          <w:bCs/>
          <w:sz w:val="20"/>
          <w:szCs w:val="20"/>
          <w:lang w:val="en-GB" w:eastAsia="en-US"/>
        </w:rPr>
        <w:tab/>
      </w:r>
      <w:r>
        <w:rPr>
          <w:rFonts w:ascii="Arial" w:hAnsi="Arial" w:eastAsia="宋体" w:cs="Arial"/>
          <w:bCs/>
          <w:sz w:val="20"/>
          <w:szCs w:val="20"/>
          <w:lang w:val="en-GB" w:eastAsia="en-US"/>
        </w:rPr>
        <w:t xml:space="preserve">   </w:t>
      </w:r>
      <w:r>
        <w:rPr>
          <w:rFonts w:hint="eastAsia" w:ascii="Arial" w:hAnsi="Arial" w:cs="Arial"/>
          <w:bCs/>
          <w:sz w:val="20"/>
          <w:szCs w:val="20"/>
          <w:lang w:val="en-US" w:eastAsia="zh-CN"/>
        </w:rPr>
        <w:t>Malta</w:t>
      </w:r>
      <w:r>
        <w:rPr>
          <w:rFonts w:hint="eastAsia" w:ascii="Arial" w:hAnsi="Arial" w:eastAsia="宋体" w:cs="Arial"/>
          <w:bCs/>
          <w:sz w:val="20"/>
          <w:szCs w:val="20"/>
          <w:lang w:val="en-GB" w:eastAsia="en-US"/>
        </w:rPr>
        <w:t>,</w:t>
      </w:r>
      <w:r>
        <w:rPr>
          <w:rFonts w:hint="eastAsia" w:ascii="Arial" w:hAnsi="Arial" w:cs="Arial"/>
          <w:bCs/>
          <w:sz w:val="20"/>
          <w:szCs w:val="20"/>
          <w:lang w:val="en-US" w:eastAsia="zh-CN"/>
        </w:rPr>
        <w:t xml:space="preserve"> MT</w:t>
      </w:r>
    </w:p>
    <w:p>
      <w:pPr>
        <w:tabs>
          <w:tab w:val="left" w:pos="4430"/>
        </w:tabs>
        <w:ind w:left="2268" w:hanging="2268"/>
        <w:rPr>
          <w:rFonts w:hint="eastAsia" w:ascii="Arial" w:hAnsi="Arial" w:eastAsia="宋体" w:cs="Arial"/>
          <w:bCs/>
          <w:sz w:val="20"/>
          <w:szCs w:val="20"/>
          <w:lang w:val="en-GB" w:eastAsia="en-US"/>
        </w:rPr>
      </w:pPr>
    </w:p>
    <w:p>
      <w:pPr>
        <w:pStyle w:val="36"/>
        <w:numPr>
          <w:ilvl w:val="0"/>
          <w:numId w:val="0"/>
        </w:numPr>
        <w:spacing w:afterLines="0" w:line="259" w:lineRule="auto"/>
        <w:ind w:right="-22" w:rightChars="0"/>
        <w:jc w:val="both"/>
        <w:rPr>
          <w:rFonts w:hint="eastAsia" w:eastAsia="宋体" w:cstheme="minorBidi"/>
          <w:kern w:val="0"/>
          <w:sz w:val="21"/>
          <w:szCs w:val="21"/>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8"/>
          <w:spacing w:before="120" w:after="120"/>
          <w:jc w:val="center"/>
        </w:pPr>
        <w:r>
          <w:fldChar w:fldCharType="begin"/>
        </w:r>
        <w:r>
          <w:instrText xml:space="preserve"> PAGE   \* MERGEFORMAT </w:instrText>
        </w:r>
        <w:r>
          <w:fldChar w:fldCharType="separate"/>
        </w:r>
        <w:r>
          <w:t>2</w:t>
        </w:r>
        <w:r>
          <w:fldChar w:fldCharType="end"/>
        </w:r>
      </w:p>
    </w:sdtContent>
  </w:sdt>
  <w:p>
    <w:pPr>
      <w:pStyle w:val="1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8"/>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7"/>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4"/>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3"/>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6"/>
      <w:lvlText w:val="•"/>
      <w:lvlJc w:val="left"/>
      <w:pPr>
        <w:tabs>
          <w:tab w:val="left" w:pos="840"/>
        </w:tabs>
        <w:ind w:left="840" w:hanging="420"/>
      </w:pPr>
      <w:rPr>
        <w:rFonts w:hint="default" w:ascii="Arial" w:hAnsi="Arial" w:eastAsia="宋体" w:cs="Arial"/>
        <w:b/>
        <w:bCs/>
        <w:i/>
        <w:iCs/>
      </w:rPr>
    </w:lvl>
    <w:lvl w:ilvl="2" w:tentative="0">
      <w:start w:val="1"/>
      <w:numFmt w:val="bullet"/>
      <w:pStyle w:val="47"/>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74671"/>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26BCE"/>
    <w:rsid w:val="011A0B49"/>
    <w:rsid w:val="011E4C0F"/>
    <w:rsid w:val="01454364"/>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C3477D"/>
    <w:rsid w:val="01D46B8D"/>
    <w:rsid w:val="01D866D8"/>
    <w:rsid w:val="01E04672"/>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B5507D"/>
    <w:rsid w:val="02B73110"/>
    <w:rsid w:val="02D05DDF"/>
    <w:rsid w:val="02DC3F9C"/>
    <w:rsid w:val="02F6136A"/>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C617D4"/>
    <w:rsid w:val="04DA1A87"/>
    <w:rsid w:val="04DE2DA3"/>
    <w:rsid w:val="04F75CE9"/>
    <w:rsid w:val="04FF1C94"/>
    <w:rsid w:val="04FF7D5A"/>
    <w:rsid w:val="0502349F"/>
    <w:rsid w:val="050E7487"/>
    <w:rsid w:val="051126EC"/>
    <w:rsid w:val="05161D2D"/>
    <w:rsid w:val="0522500E"/>
    <w:rsid w:val="052E568F"/>
    <w:rsid w:val="053973F0"/>
    <w:rsid w:val="053E65E7"/>
    <w:rsid w:val="05516048"/>
    <w:rsid w:val="0555228E"/>
    <w:rsid w:val="05584422"/>
    <w:rsid w:val="055C5454"/>
    <w:rsid w:val="057D1D66"/>
    <w:rsid w:val="059D265F"/>
    <w:rsid w:val="05B2756C"/>
    <w:rsid w:val="05B92EC1"/>
    <w:rsid w:val="05D03328"/>
    <w:rsid w:val="05E078B3"/>
    <w:rsid w:val="05EE6E49"/>
    <w:rsid w:val="0601277E"/>
    <w:rsid w:val="060C5931"/>
    <w:rsid w:val="060C5AED"/>
    <w:rsid w:val="06103146"/>
    <w:rsid w:val="06172561"/>
    <w:rsid w:val="061E54DA"/>
    <w:rsid w:val="061E5E22"/>
    <w:rsid w:val="06460B91"/>
    <w:rsid w:val="064829DB"/>
    <w:rsid w:val="0654187C"/>
    <w:rsid w:val="065475DE"/>
    <w:rsid w:val="06654281"/>
    <w:rsid w:val="0677709C"/>
    <w:rsid w:val="067C28D6"/>
    <w:rsid w:val="068677B6"/>
    <w:rsid w:val="068967F5"/>
    <w:rsid w:val="068B36F9"/>
    <w:rsid w:val="068E06BC"/>
    <w:rsid w:val="069201CB"/>
    <w:rsid w:val="06A613AE"/>
    <w:rsid w:val="06B741D9"/>
    <w:rsid w:val="06C457B6"/>
    <w:rsid w:val="06CD4A70"/>
    <w:rsid w:val="06DF4C13"/>
    <w:rsid w:val="06E7678C"/>
    <w:rsid w:val="06E97451"/>
    <w:rsid w:val="06F42A88"/>
    <w:rsid w:val="06F801C0"/>
    <w:rsid w:val="06FB38AA"/>
    <w:rsid w:val="071C13A8"/>
    <w:rsid w:val="073D143C"/>
    <w:rsid w:val="074855FD"/>
    <w:rsid w:val="07627CA0"/>
    <w:rsid w:val="076319C4"/>
    <w:rsid w:val="07691233"/>
    <w:rsid w:val="077241E3"/>
    <w:rsid w:val="078C55F0"/>
    <w:rsid w:val="078C5933"/>
    <w:rsid w:val="078D336C"/>
    <w:rsid w:val="07905D82"/>
    <w:rsid w:val="07905E8F"/>
    <w:rsid w:val="07971B3F"/>
    <w:rsid w:val="07983294"/>
    <w:rsid w:val="079A71A9"/>
    <w:rsid w:val="07A5677E"/>
    <w:rsid w:val="07B51934"/>
    <w:rsid w:val="07B9290D"/>
    <w:rsid w:val="07BB64F5"/>
    <w:rsid w:val="07BE52B9"/>
    <w:rsid w:val="07C35A1C"/>
    <w:rsid w:val="07D57946"/>
    <w:rsid w:val="07D70D20"/>
    <w:rsid w:val="07ED524D"/>
    <w:rsid w:val="080124E3"/>
    <w:rsid w:val="080C7FA0"/>
    <w:rsid w:val="082D5BBC"/>
    <w:rsid w:val="08341060"/>
    <w:rsid w:val="08787FF0"/>
    <w:rsid w:val="088178D8"/>
    <w:rsid w:val="0889002B"/>
    <w:rsid w:val="08934557"/>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0B3F75"/>
    <w:rsid w:val="0A145721"/>
    <w:rsid w:val="0A1F01B6"/>
    <w:rsid w:val="0A3708FF"/>
    <w:rsid w:val="0A3A5FEA"/>
    <w:rsid w:val="0A3B01F9"/>
    <w:rsid w:val="0A3F0488"/>
    <w:rsid w:val="0A402A36"/>
    <w:rsid w:val="0A5237FA"/>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251C3"/>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17059"/>
    <w:rsid w:val="0E3352C6"/>
    <w:rsid w:val="0E5433AA"/>
    <w:rsid w:val="0E55772D"/>
    <w:rsid w:val="0E6271DF"/>
    <w:rsid w:val="0E777212"/>
    <w:rsid w:val="0E81568A"/>
    <w:rsid w:val="0E942250"/>
    <w:rsid w:val="0E963344"/>
    <w:rsid w:val="0E9E6E00"/>
    <w:rsid w:val="0EA40C1C"/>
    <w:rsid w:val="0ED50DDE"/>
    <w:rsid w:val="0EE41032"/>
    <w:rsid w:val="0EEC6F1D"/>
    <w:rsid w:val="0F103291"/>
    <w:rsid w:val="0F1D498B"/>
    <w:rsid w:val="0F337178"/>
    <w:rsid w:val="0F41022A"/>
    <w:rsid w:val="0F4330B0"/>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D911F2"/>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EE01D6"/>
    <w:rsid w:val="10F52718"/>
    <w:rsid w:val="11163B35"/>
    <w:rsid w:val="114028DC"/>
    <w:rsid w:val="11404ED0"/>
    <w:rsid w:val="116A74C9"/>
    <w:rsid w:val="116F1EB0"/>
    <w:rsid w:val="11763F26"/>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55180"/>
    <w:rsid w:val="141E583B"/>
    <w:rsid w:val="1424615D"/>
    <w:rsid w:val="142C143A"/>
    <w:rsid w:val="143D75EE"/>
    <w:rsid w:val="145D452A"/>
    <w:rsid w:val="145F07C7"/>
    <w:rsid w:val="146C5189"/>
    <w:rsid w:val="14794EEF"/>
    <w:rsid w:val="14816B50"/>
    <w:rsid w:val="148313F4"/>
    <w:rsid w:val="14831DAA"/>
    <w:rsid w:val="1484169C"/>
    <w:rsid w:val="14934F1A"/>
    <w:rsid w:val="149559C4"/>
    <w:rsid w:val="1497445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6C0FB4"/>
    <w:rsid w:val="1574662E"/>
    <w:rsid w:val="15751882"/>
    <w:rsid w:val="1575191B"/>
    <w:rsid w:val="157818C6"/>
    <w:rsid w:val="157D1EB1"/>
    <w:rsid w:val="157F3ECD"/>
    <w:rsid w:val="15891D5D"/>
    <w:rsid w:val="158F246E"/>
    <w:rsid w:val="159F73BB"/>
    <w:rsid w:val="15B03F28"/>
    <w:rsid w:val="15DE29CF"/>
    <w:rsid w:val="15E30A80"/>
    <w:rsid w:val="15F77CD3"/>
    <w:rsid w:val="160228F0"/>
    <w:rsid w:val="1608480E"/>
    <w:rsid w:val="161C1C58"/>
    <w:rsid w:val="162F7556"/>
    <w:rsid w:val="16404810"/>
    <w:rsid w:val="16413A3A"/>
    <w:rsid w:val="1644500C"/>
    <w:rsid w:val="16461A95"/>
    <w:rsid w:val="16594F06"/>
    <w:rsid w:val="1663404B"/>
    <w:rsid w:val="166F5E80"/>
    <w:rsid w:val="16766A92"/>
    <w:rsid w:val="167A52A9"/>
    <w:rsid w:val="16866882"/>
    <w:rsid w:val="168C392F"/>
    <w:rsid w:val="168F69F2"/>
    <w:rsid w:val="169C7FDE"/>
    <w:rsid w:val="16A4319F"/>
    <w:rsid w:val="16AC1941"/>
    <w:rsid w:val="16AC4DDB"/>
    <w:rsid w:val="16AE2FE3"/>
    <w:rsid w:val="16B4400E"/>
    <w:rsid w:val="16C739DF"/>
    <w:rsid w:val="16DD3B26"/>
    <w:rsid w:val="16E21E1B"/>
    <w:rsid w:val="16EB6E00"/>
    <w:rsid w:val="16FD2447"/>
    <w:rsid w:val="170A628B"/>
    <w:rsid w:val="1712339A"/>
    <w:rsid w:val="171E63FC"/>
    <w:rsid w:val="1722504D"/>
    <w:rsid w:val="17276DF4"/>
    <w:rsid w:val="1738730F"/>
    <w:rsid w:val="17416499"/>
    <w:rsid w:val="17481B81"/>
    <w:rsid w:val="175007ED"/>
    <w:rsid w:val="17610597"/>
    <w:rsid w:val="176B45C6"/>
    <w:rsid w:val="176C447F"/>
    <w:rsid w:val="17724DA0"/>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539C6"/>
    <w:rsid w:val="183E1D37"/>
    <w:rsid w:val="184D0787"/>
    <w:rsid w:val="185D1883"/>
    <w:rsid w:val="18812331"/>
    <w:rsid w:val="18816F1C"/>
    <w:rsid w:val="18853F3E"/>
    <w:rsid w:val="18945127"/>
    <w:rsid w:val="18956393"/>
    <w:rsid w:val="18A8582C"/>
    <w:rsid w:val="18B50543"/>
    <w:rsid w:val="18CD7A02"/>
    <w:rsid w:val="18F86F87"/>
    <w:rsid w:val="19001FFC"/>
    <w:rsid w:val="190E2B4A"/>
    <w:rsid w:val="19256D7A"/>
    <w:rsid w:val="19322C83"/>
    <w:rsid w:val="193275C2"/>
    <w:rsid w:val="19394FD2"/>
    <w:rsid w:val="19413FB3"/>
    <w:rsid w:val="195F3A6C"/>
    <w:rsid w:val="19663168"/>
    <w:rsid w:val="19786B0A"/>
    <w:rsid w:val="199A2059"/>
    <w:rsid w:val="19A94DC1"/>
    <w:rsid w:val="19AD5184"/>
    <w:rsid w:val="19B46E10"/>
    <w:rsid w:val="19C456C1"/>
    <w:rsid w:val="19D75435"/>
    <w:rsid w:val="19DD71E7"/>
    <w:rsid w:val="19F061A1"/>
    <w:rsid w:val="1A054259"/>
    <w:rsid w:val="1A081816"/>
    <w:rsid w:val="1A165171"/>
    <w:rsid w:val="1A364410"/>
    <w:rsid w:val="1A3E5F99"/>
    <w:rsid w:val="1A4858FF"/>
    <w:rsid w:val="1A4C698A"/>
    <w:rsid w:val="1A563640"/>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AFD2B54"/>
    <w:rsid w:val="1B02285F"/>
    <w:rsid w:val="1B0F19AE"/>
    <w:rsid w:val="1B2160BB"/>
    <w:rsid w:val="1B2C5C22"/>
    <w:rsid w:val="1B3637AD"/>
    <w:rsid w:val="1B3E0DB5"/>
    <w:rsid w:val="1B454C94"/>
    <w:rsid w:val="1B5258E6"/>
    <w:rsid w:val="1B6404E0"/>
    <w:rsid w:val="1B6A54A6"/>
    <w:rsid w:val="1B6C0DF0"/>
    <w:rsid w:val="1B76379D"/>
    <w:rsid w:val="1B7F6005"/>
    <w:rsid w:val="1B8D49C2"/>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CF76192"/>
    <w:rsid w:val="1D037029"/>
    <w:rsid w:val="1D3305FF"/>
    <w:rsid w:val="1D395282"/>
    <w:rsid w:val="1D446291"/>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465A6D"/>
    <w:rsid w:val="1E480E15"/>
    <w:rsid w:val="1E591C14"/>
    <w:rsid w:val="1E595CAF"/>
    <w:rsid w:val="1E6607F9"/>
    <w:rsid w:val="1E805396"/>
    <w:rsid w:val="1E884F62"/>
    <w:rsid w:val="1E9D6342"/>
    <w:rsid w:val="1E9D6D15"/>
    <w:rsid w:val="1EA77730"/>
    <w:rsid w:val="1EC16735"/>
    <w:rsid w:val="1EC36E9D"/>
    <w:rsid w:val="1EDE4CB0"/>
    <w:rsid w:val="1EE25FDD"/>
    <w:rsid w:val="1EF5103F"/>
    <w:rsid w:val="1F090F9B"/>
    <w:rsid w:val="1F0E5D6B"/>
    <w:rsid w:val="1F4B1A5F"/>
    <w:rsid w:val="1F4F2219"/>
    <w:rsid w:val="1F721405"/>
    <w:rsid w:val="1F935819"/>
    <w:rsid w:val="1FA6556D"/>
    <w:rsid w:val="1FAF2571"/>
    <w:rsid w:val="1FC55EDA"/>
    <w:rsid w:val="1FCE593C"/>
    <w:rsid w:val="1FD54EC3"/>
    <w:rsid w:val="1FE1514A"/>
    <w:rsid w:val="1FE312AC"/>
    <w:rsid w:val="1FEC5915"/>
    <w:rsid w:val="1FED32EF"/>
    <w:rsid w:val="200631D6"/>
    <w:rsid w:val="20412383"/>
    <w:rsid w:val="20446081"/>
    <w:rsid w:val="204852AD"/>
    <w:rsid w:val="204E6676"/>
    <w:rsid w:val="20590807"/>
    <w:rsid w:val="205A5AA0"/>
    <w:rsid w:val="20773A28"/>
    <w:rsid w:val="20814938"/>
    <w:rsid w:val="208574F4"/>
    <w:rsid w:val="208F6BAF"/>
    <w:rsid w:val="209A6308"/>
    <w:rsid w:val="20A462BA"/>
    <w:rsid w:val="20A976E7"/>
    <w:rsid w:val="20BF2AAC"/>
    <w:rsid w:val="20C849C7"/>
    <w:rsid w:val="20DF66D2"/>
    <w:rsid w:val="20EC3F2E"/>
    <w:rsid w:val="20EC7C3E"/>
    <w:rsid w:val="21050673"/>
    <w:rsid w:val="210548E9"/>
    <w:rsid w:val="21124D15"/>
    <w:rsid w:val="213E7119"/>
    <w:rsid w:val="213F7386"/>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90147"/>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14082"/>
    <w:rsid w:val="23A21B04"/>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335BB"/>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4254A"/>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5764E1"/>
    <w:rsid w:val="266237C3"/>
    <w:rsid w:val="266E1273"/>
    <w:rsid w:val="267550B9"/>
    <w:rsid w:val="26772D0F"/>
    <w:rsid w:val="26A30ADD"/>
    <w:rsid w:val="26BF3F9F"/>
    <w:rsid w:val="26C472EC"/>
    <w:rsid w:val="26EC491A"/>
    <w:rsid w:val="26ED73E1"/>
    <w:rsid w:val="26EF38F6"/>
    <w:rsid w:val="26F32A72"/>
    <w:rsid w:val="27047832"/>
    <w:rsid w:val="271201A6"/>
    <w:rsid w:val="27204B5D"/>
    <w:rsid w:val="272F31A0"/>
    <w:rsid w:val="27342901"/>
    <w:rsid w:val="273D2762"/>
    <w:rsid w:val="27470B72"/>
    <w:rsid w:val="27483874"/>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45C09"/>
    <w:rsid w:val="28D53334"/>
    <w:rsid w:val="28E138E3"/>
    <w:rsid w:val="28E74216"/>
    <w:rsid w:val="28E87EE4"/>
    <w:rsid w:val="2903396A"/>
    <w:rsid w:val="290D4568"/>
    <w:rsid w:val="29207566"/>
    <w:rsid w:val="29235EFC"/>
    <w:rsid w:val="292918ED"/>
    <w:rsid w:val="294E766A"/>
    <w:rsid w:val="2978319A"/>
    <w:rsid w:val="2978571B"/>
    <w:rsid w:val="299752B2"/>
    <w:rsid w:val="2998751F"/>
    <w:rsid w:val="299A214E"/>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585A33"/>
    <w:rsid w:val="2A6E31F8"/>
    <w:rsid w:val="2A8A2F9C"/>
    <w:rsid w:val="2A9226E6"/>
    <w:rsid w:val="2AAC5A06"/>
    <w:rsid w:val="2ABB3D6F"/>
    <w:rsid w:val="2AC70B30"/>
    <w:rsid w:val="2ACC2AAF"/>
    <w:rsid w:val="2AD74744"/>
    <w:rsid w:val="2AD91AC2"/>
    <w:rsid w:val="2AE57C95"/>
    <w:rsid w:val="2AF21EF1"/>
    <w:rsid w:val="2AF35C8B"/>
    <w:rsid w:val="2B132265"/>
    <w:rsid w:val="2B1D1F04"/>
    <w:rsid w:val="2B214776"/>
    <w:rsid w:val="2B2843BE"/>
    <w:rsid w:val="2B313FC1"/>
    <w:rsid w:val="2B347C14"/>
    <w:rsid w:val="2B39348E"/>
    <w:rsid w:val="2B437285"/>
    <w:rsid w:val="2B4D695C"/>
    <w:rsid w:val="2B513870"/>
    <w:rsid w:val="2B514803"/>
    <w:rsid w:val="2B637D4B"/>
    <w:rsid w:val="2B6554A9"/>
    <w:rsid w:val="2B6B1684"/>
    <w:rsid w:val="2B721F56"/>
    <w:rsid w:val="2B7B70BF"/>
    <w:rsid w:val="2B7E058C"/>
    <w:rsid w:val="2B8B422C"/>
    <w:rsid w:val="2B973FAE"/>
    <w:rsid w:val="2B9E3B1D"/>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773C36"/>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8A5D09"/>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966E5"/>
    <w:rsid w:val="2E6C0A75"/>
    <w:rsid w:val="2E7248C0"/>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62663F"/>
    <w:rsid w:val="30836D4E"/>
    <w:rsid w:val="30916BB1"/>
    <w:rsid w:val="30962F3E"/>
    <w:rsid w:val="30AA2585"/>
    <w:rsid w:val="30AD7725"/>
    <w:rsid w:val="30C16A19"/>
    <w:rsid w:val="30D32236"/>
    <w:rsid w:val="30FA7530"/>
    <w:rsid w:val="30FE0648"/>
    <w:rsid w:val="30FE119D"/>
    <w:rsid w:val="30FF2795"/>
    <w:rsid w:val="310375CD"/>
    <w:rsid w:val="311611B3"/>
    <w:rsid w:val="313553AF"/>
    <w:rsid w:val="3138634D"/>
    <w:rsid w:val="313C313D"/>
    <w:rsid w:val="3143321D"/>
    <w:rsid w:val="314E236F"/>
    <w:rsid w:val="315E0B07"/>
    <w:rsid w:val="31621F46"/>
    <w:rsid w:val="316E7AA7"/>
    <w:rsid w:val="316E7CA0"/>
    <w:rsid w:val="317206BF"/>
    <w:rsid w:val="317932EA"/>
    <w:rsid w:val="317E5000"/>
    <w:rsid w:val="31B37C6E"/>
    <w:rsid w:val="31B718F2"/>
    <w:rsid w:val="31B912B2"/>
    <w:rsid w:val="31BE78AB"/>
    <w:rsid w:val="31D20051"/>
    <w:rsid w:val="31EF7EE8"/>
    <w:rsid w:val="31F1357D"/>
    <w:rsid w:val="3201404F"/>
    <w:rsid w:val="320901F5"/>
    <w:rsid w:val="320B7CCB"/>
    <w:rsid w:val="32105DE8"/>
    <w:rsid w:val="32213705"/>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BC6801"/>
    <w:rsid w:val="32CB6A28"/>
    <w:rsid w:val="32D0326B"/>
    <w:rsid w:val="32DF351E"/>
    <w:rsid w:val="32E4188C"/>
    <w:rsid w:val="32E660DB"/>
    <w:rsid w:val="32EE5E41"/>
    <w:rsid w:val="32EF1922"/>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E23D2D"/>
    <w:rsid w:val="33FE62E7"/>
    <w:rsid w:val="340D25F6"/>
    <w:rsid w:val="340F5E5C"/>
    <w:rsid w:val="342B76C7"/>
    <w:rsid w:val="342C472B"/>
    <w:rsid w:val="34332832"/>
    <w:rsid w:val="343A1527"/>
    <w:rsid w:val="34447898"/>
    <w:rsid w:val="344E62FA"/>
    <w:rsid w:val="3450174B"/>
    <w:rsid w:val="3472234D"/>
    <w:rsid w:val="347B114D"/>
    <w:rsid w:val="347D500F"/>
    <w:rsid w:val="34830157"/>
    <w:rsid w:val="34872D27"/>
    <w:rsid w:val="34876543"/>
    <w:rsid w:val="348D495C"/>
    <w:rsid w:val="349164BD"/>
    <w:rsid w:val="34B32986"/>
    <w:rsid w:val="34BD02AE"/>
    <w:rsid w:val="34C12126"/>
    <w:rsid w:val="34D13A35"/>
    <w:rsid w:val="34D43731"/>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F4D80"/>
    <w:rsid w:val="35A26D98"/>
    <w:rsid w:val="35BB6E36"/>
    <w:rsid w:val="35C0105B"/>
    <w:rsid w:val="35C06D50"/>
    <w:rsid w:val="35D24294"/>
    <w:rsid w:val="35D85F6C"/>
    <w:rsid w:val="35FF6F3C"/>
    <w:rsid w:val="36075F27"/>
    <w:rsid w:val="36121506"/>
    <w:rsid w:val="361D7A43"/>
    <w:rsid w:val="361F3323"/>
    <w:rsid w:val="362E33B8"/>
    <w:rsid w:val="362E4F6B"/>
    <w:rsid w:val="36350CFE"/>
    <w:rsid w:val="36386400"/>
    <w:rsid w:val="36402EFA"/>
    <w:rsid w:val="364271C9"/>
    <w:rsid w:val="36496A51"/>
    <w:rsid w:val="365623F6"/>
    <w:rsid w:val="36670090"/>
    <w:rsid w:val="36740EEF"/>
    <w:rsid w:val="368230C6"/>
    <w:rsid w:val="368F2A68"/>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617167"/>
    <w:rsid w:val="378229A7"/>
    <w:rsid w:val="3784394E"/>
    <w:rsid w:val="37987437"/>
    <w:rsid w:val="37A21E38"/>
    <w:rsid w:val="37A30ED5"/>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A0E87"/>
    <w:rsid w:val="394B6470"/>
    <w:rsid w:val="39526430"/>
    <w:rsid w:val="39790F9D"/>
    <w:rsid w:val="39860592"/>
    <w:rsid w:val="39872512"/>
    <w:rsid w:val="399E5818"/>
    <w:rsid w:val="39A602F9"/>
    <w:rsid w:val="39A611EE"/>
    <w:rsid w:val="39BD45C8"/>
    <w:rsid w:val="39C2316A"/>
    <w:rsid w:val="39C43643"/>
    <w:rsid w:val="39C77B3B"/>
    <w:rsid w:val="39D7513A"/>
    <w:rsid w:val="39DB12EF"/>
    <w:rsid w:val="39F36281"/>
    <w:rsid w:val="39F56CC2"/>
    <w:rsid w:val="39FD376D"/>
    <w:rsid w:val="39FD6C9C"/>
    <w:rsid w:val="3A0224B9"/>
    <w:rsid w:val="3A16794C"/>
    <w:rsid w:val="3A1D69FC"/>
    <w:rsid w:val="3A226969"/>
    <w:rsid w:val="3A371796"/>
    <w:rsid w:val="3A3F47CE"/>
    <w:rsid w:val="3A4E1C5D"/>
    <w:rsid w:val="3A523735"/>
    <w:rsid w:val="3A557AE4"/>
    <w:rsid w:val="3A6577A0"/>
    <w:rsid w:val="3A6B0F84"/>
    <w:rsid w:val="3A7149CC"/>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1D27F5"/>
    <w:rsid w:val="3B2D1F45"/>
    <w:rsid w:val="3B307112"/>
    <w:rsid w:val="3B4459E4"/>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67C29"/>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141CF"/>
    <w:rsid w:val="3D1A48E2"/>
    <w:rsid w:val="3D316CDB"/>
    <w:rsid w:val="3D327CA5"/>
    <w:rsid w:val="3D3D6BBD"/>
    <w:rsid w:val="3D421C2F"/>
    <w:rsid w:val="3D450F8C"/>
    <w:rsid w:val="3D454394"/>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C164A"/>
    <w:rsid w:val="3E1D023C"/>
    <w:rsid w:val="3E1D4B24"/>
    <w:rsid w:val="3E36391C"/>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EF43DA9"/>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B9189A"/>
    <w:rsid w:val="3FC36557"/>
    <w:rsid w:val="3FC956FF"/>
    <w:rsid w:val="3FCA687C"/>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19C6"/>
    <w:rsid w:val="40713C35"/>
    <w:rsid w:val="40745F23"/>
    <w:rsid w:val="40830062"/>
    <w:rsid w:val="40836272"/>
    <w:rsid w:val="408376F8"/>
    <w:rsid w:val="40A25054"/>
    <w:rsid w:val="40A325E0"/>
    <w:rsid w:val="40BD0DA1"/>
    <w:rsid w:val="40C1274D"/>
    <w:rsid w:val="40C93CB0"/>
    <w:rsid w:val="40EC7D18"/>
    <w:rsid w:val="40ED11A0"/>
    <w:rsid w:val="40FD1BF0"/>
    <w:rsid w:val="41096BC0"/>
    <w:rsid w:val="410A75B6"/>
    <w:rsid w:val="410B452A"/>
    <w:rsid w:val="413353F1"/>
    <w:rsid w:val="41466208"/>
    <w:rsid w:val="41513BC9"/>
    <w:rsid w:val="415735F1"/>
    <w:rsid w:val="41595743"/>
    <w:rsid w:val="41735B7F"/>
    <w:rsid w:val="417F1DDC"/>
    <w:rsid w:val="41A35744"/>
    <w:rsid w:val="41A65F04"/>
    <w:rsid w:val="41D75714"/>
    <w:rsid w:val="41D84CBC"/>
    <w:rsid w:val="41DD3BC3"/>
    <w:rsid w:val="41EE2F03"/>
    <w:rsid w:val="41F466FD"/>
    <w:rsid w:val="42002BC7"/>
    <w:rsid w:val="42026B03"/>
    <w:rsid w:val="420D197F"/>
    <w:rsid w:val="420D3EDF"/>
    <w:rsid w:val="42187EBE"/>
    <w:rsid w:val="421C3DAC"/>
    <w:rsid w:val="42267415"/>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EF4FB3"/>
    <w:rsid w:val="42F17BF5"/>
    <w:rsid w:val="42F87EC9"/>
    <w:rsid w:val="42FA45BF"/>
    <w:rsid w:val="430E7E66"/>
    <w:rsid w:val="4332317A"/>
    <w:rsid w:val="433F6B54"/>
    <w:rsid w:val="4346543A"/>
    <w:rsid w:val="43494007"/>
    <w:rsid w:val="4357778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853AC"/>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ED30A1"/>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21352"/>
    <w:rsid w:val="458667C4"/>
    <w:rsid w:val="45883085"/>
    <w:rsid w:val="458F5163"/>
    <w:rsid w:val="459C5A47"/>
    <w:rsid w:val="45A82F38"/>
    <w:rsid w:val="45AC0441"/>
    <w:rsid w:val="45AE5935"/>
    <w:rsid w:val="45B047D1"/>
    <w:rsid w:val="45BE6191"/>
    <w:rsid w:val="45BE648C"/>
    <w:rsid w:val="45CD2126"/>
    <w:rsid w:val="460C5979"/>
    <w:rsid w:val="460C6D7B"/>
    <w:rsid w:val="460F18AE"/>
    <w:rsid w:val="46110AB3"/>
    <w:rsid w:val="46143B66"/>
    <w:rsid w:val="46214325"/>
    <w:rsid w:val="4624673F"/>
    <w:rsid w:val="463246EC"/>
    <w:rsid w:val="463A3547"/>
    <w:rsid w:val="464E25C4"/>
    <w:rsid w:val="46555DC3"/>
    <w:rsid w:val="46617DB2"/>
    <w:rsid w:val="46621065"/>
    <w:rsid w:val="46665198"/>
    <w:rsid w:val="46697236"/>
    <w:rsid w:val="46770F8B"/>
    <w:rsid w:val="467C16FA"/>
    <w:rsid w:val="46894B18"/>
    <w:rsid w:val="469448C6"/>
    <w:rsid w:val="469B7F22"/>
    <w:rsid w:val="46A232B5"/>
    <w:rsid w:val="46A45391"/>
    <w:rsid w:val="46A80465"/>
    <w:rsid w:val="46B80AF8"/>
    <w:rsid w:val="46D37F0B"/>
    <w:rsid w:val="46D71533"/>
    <w:rsid w:val="46E53335"/>
    <w:rsid w:val="4700508A"/>
    <w:rsid w:val="47040E98"/>
    <w:rsid w:val="47116C0B"/>
    <w:rsid w:val="47155D89"/>
    <w:rsid w:val="47173D82"/>
    <w:rsid w:val="47253C54"/>
    <w:rsid w:val="473069AF"/>
    <w:rsid w:val="474A0EAF"/>
    <w:rsid w:val="474E50BE"/>
    <w:rsid w:val="47696F9C"/>
    <w:rsid w:val="476D526A"/>
    <w:rsid w:val="476F439D"/>
    <w:rsid w:val="47725A17"/>
    <w:rsid w:val="477D3243"/>
    <w:rsid w:val="478821A1"/>
    <w:rsid w:val="479128A9"/>
    <w:rsid w:val="47975EDC"/>
    <w:rsid w:val="47983B19"/>
    <w:rsid w:val="47A3609D"/>
    <w:rsid w:val="47C01792"/>
    <w:rsid w:val="47C57A48"/>
    <w:rsid w:val="47D511BD"/>
    <w:rsid w:val="47D52718"/>
    <w:rsid w:val="47DC3773"/>
    <w:rsid w:val="4808150F"/>
    <w:rsid w:val="480F51A8"/>
    <w:rsid w:val="48256B1B"/>
    <w:rsid w:val="48282713"/>
    <w:rsid w:val="484417FA"/>
    <w:rsid w:val="48450ECE"/>
    <w:rsid w:val="484759CD"/>
    <w:rsid w:val="484A10F9"/>
    <w:rsid w:val="484B14EC"/>
    <w:rsid w:val="486962FA"/>
    <w:rsid w:val="48713351"/>
    <w:rsid w:val="487E111C"/>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797713"/>
    <w:rsid w:val="49814AF9"/>
    <w:rsid w:val="498A16CD"/>
    <w:rsid w:val="49A33C27"/>
    <w:rsid w:val="49A750B5"/>
    <w:rsid w:val="49BE07DA"/>
    <w:rsid w:val="49C84AA0"/>
    <w:rsid w:val="49D7694D"/>
    <w:rsid w:val="4A0244D3"/>
    <w:rsid w:val="4A255046"/>
    <w:rsid w:val="4A28799C"/>
    <w:rsid w:val="4A2E1525"/>
    <w:rsid w:val="4A2E4DBF"/>
    <w:rsid w:val="4A4E5776"/>
    <w:rsid w:val="4A5A756D"/>
    <w:rsid w:val="4A6174B0"/>
    <w:rsid w:val="4A785772"/>
    <w:rsid w:val="4A89105B"/>
    <w:rsid w:val="4AA341CC"/>
    <w:rsid w:val="4AB94963"/>
    <w:rsid w:val="4AC13295"/>
    <w:rsid w:val="4AC31003"/>
    <w:rsid w:val="4AC40F4C"/>
    <w:rsid w:val="4AD25F33"/>
    <w:rsid w:val="4AE072CB"/>
    <w:rsid w:val="4AE1726E"/>
    <w:rsid w:val="4AE22767"/>
    <w:rsid w:val="4AE93159"/>
    <w:rsid w:val="4AF02EA1"/>
    <w:rsid w:val="4B174032"/>
    <w:rsid w:val="4B250CF8"/>
    <w:rsid w:val="4B3E7ACE"/>
    <w:rsid w:val="4B57342A"/>
    <w:rsid w:val="4B7C4100"/>
    <w:rsid w:val="4B830F9B"/>
    <w:rsid w:val="4B9B0C47"/>
    <w:rsid w:val="4B9D4011"/>
    <w:rsid w:val="4BB36BDD"/>
    <w:rsid w:val="4BC32290"/>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A780A"/>
    <w:rsid w:val="4CED698D"/>
    <w:rsid w:val="4CF52D94"/>
    <w:rsid w:val="4D43301D"/>
    <w:rsid w:val="4D462159"/>
    <w:rsid w:val="4D566017"/>
    <w:rsid w:val="4D6D36A4"/>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AF115B"/>
    <w:rsid w:val="4EC50C90"/>
    <w:rsid w:val="4EDB58B2"/>
    <w:rsid w:val="4EE925CE"/>
    <w:rsid w:val="4EEF2E30"/>
    <w:rsid w:val="4EF16D1A"/>
    <w:rsid w:val="4EF24828"/>
    <w:rsid w:val="4EFE7F59"/>
    <w:rsid w:val="4F0C55AD"/>
    <w:rsid w:val="4F171C50"/>
    <w:rsid w:val="4F285975"/>
    <w:rsid w:val="4F290E6D"/>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CE5E86"/>
    <w:rsid w:val="50DD524F"/>
    <w:rsid w:val="50E75F40"/>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60AEF"/>
    <w:rsid w:val="523E09B5"/>
    <w:rsid w:val="525770DA"/>
    <w:rsid w:val="525A1C6E"/>
    <w:rsid w:val="525E17DE"/>
    <w:rsid w:val="52687B2A"/>
    <w:rsid w:val="526E0E82"/>
    <w:rsid w:val="52734F68"/>
    <w:rsid w:val="527901C6"/>
    <w:rsid w:val="528B2778"/>
    <w:rsid w:val="52A24532"/>
    <w:rsid w:val="52A45841"/>
    <w:rsid w:val="52B3363A"/>
    <w:rsid w:val="52C4202F"/>
    <w:rsid w:val="52C4763C"/>
    <w:rsid w:val="52DE691D"/>
    <w:rsid w:val="52E04D27"/>
    <w:rsid w:val="52EA4FDF"/>
    <w:rsid w:val="52EB1898"/>
    <w:rsid w:val="52ED0C96"/>
    <w:rsid w:val="52F765D7"/>
    <w:rsid w:val="53061721"/>
    <w:rsid w:val="530C0E6B"/>
    <w:rsid w:val="53123B04"/>
    <w:rsid w:val="532064EF"/>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7D78E9"/>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27167"/>
    <w:rsid w:val="55E8339E"/>
    <w:rsid w:val="55F06771"/>
    <w:rsid w:val="55F5152F"/>
    <w:rsid w:val="560B1622"/>
    <w:rsid w:val="56106284"/>
    <w:rsid w:val="562C1706"/>
    <w:rsid w:val="5632642A"/>
    <w:rsid w:val="56327A2B"/>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1C599D"/>
    <w:rsid w:val="58500F22"/>
    <w:rsid w:val="585103F5"/>
    <w:rsid w:val="58587379"/>
    <w:rsid w:val="586D57A3"/>
    <w:rsid w:val="587917A0"/>
    <w:rsid w:val="587A4288"/>
    <w:rsid w:val="5880052B"/>
    <w:rsid w:val="58802568"/>
    <w:rsid w:val="588B1570"/>
    <w:rsid w:val="588C14D4"/>
    <w:rsid w:val="58AC41AA"/>
    <w:rsid w:val="58AD27D9"/>
    <w:rsid w:val="58B169A2"/>
    <w:rsid w:val="58B9636C"/>
    <w:rsid w:val="58BF1E19"/>
    <w:rsid w:val="58C37133"/>
    <w:rsid w:val="58C93046"/>
    <w:rsid w:val="58D36BCB"/>
    <w:rsid w:val="58E169DF"/>
    <w:rsid w:val="58E6349C"/>
    <w:rsid w:val="58EC037F"/>
    <w:rsid w:val="58EF63EE"/>
    <w:rsid w:val="58FB7FCD"/>
    <w:rsid w:val="590317F0"/>
    <w:rsid w:val="59075000"/>
    <w:rsid w:val="59200EBC"/>
    <w:rsid w:val="593559FD"/>
    <w:rsid w:val="594079B2"/>
    <w:rsid w:val="594A13D7"/>
    <w:rsid w:val="594B366D"/>
    <w:rsid w:val="595346FA"/>
    <w:rsid w:val="5987482A"/>
    <w:rsid w:val="599C49A8"/>
    <w:rsid w:val="59A36725"/>
    <w:rsid w:val="59AB192B"/>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164401"/>
    <w:rsid w:val="5B28192B"/>
    <w:rsid w:val="5B2E7D32"/>
    <w:rsid w:val="5B443F2B"/>
    <w:rsid w:val="5B5F300B"/>
    <w:rsid w:val="5B66707B"/>
    <w:rsid w:val="5B673066"/>
    <w:rsid w:val="5B785E83"/>
    <w:rsid w:val="5B7C1CD1"/>
    <w:rsid w:val="5B82056F"/>
    <w:rsid w:val="5B8E0DA3"/>
    <w:rsid w:val="5B8E27B4"/>
    <w:rsid w:val="5B9251EF"/>
    <w:rsid w:val="5B9553E7"/>
    <w:rsid w:val="5BAB5BC4"/>
    <w:rsid w:val="5BB20B74"/>
    <w:rsid w:val="5BC17C0C"/>
    <w:rsid w:val="5BC677D8"/>
    <w:rsid w:val="5BD32E77"/>
    <w:rsid w:val="5BDC7820"/>
    <w:rsid w:val="5BE56907"/>
    <w:rsid w:val="5BEB0120"/>
    <w:rsid w:val="5BF420D1"/>
    <w:rsid w:val="5C097C4E"/>
    <w:rsid w:val="5C127F35"/>
    <w:rsid w:val="5C1A3A93"/>
    <w:rsid w:val="5C235386"/>
    <w:rsid w:val="5C3B6CFC"/>
    <w:rsid w:val="5C4C2CF4"/>
    <w:rsid w:val="5C5A77B9"/>
    <w:rsid w:val="5C6B1600"/>
    <w:rsid w:val="5C712B6D"/>
    <w:rsid w:val="5C74256C"/>
    <w:rsid w:val="5C7D70D1"/>
    <w:rsid w:val="5C8542A8"/>
    <w:rsid w:val="5C975416"/>
    <w:rsid w:val="5CA1479B"/>
    <w:rsid w:val="5CA6294E"/>
    <w:rsid w:val="5CAB7154"/>
    <w:rsid w:val="5CC46E8A"/>
    <w:rsid w:val="5CD1155B"/>
    <w:rsid w:val="5CD8648B"/>
    <w:rsid w:val="5CDB2E8C"/>
    <w:rsid w:val="5CDB3358"/>
    <w:rsid w:val="5CED4E0C"/>
    <w:rsid w:val="5CEF1DC1"/>
    <w:rsid w:val="5CF94FAE"/>
    <w:rsid w:val="5CFA2018"/>
    <w:rsid w:val="5D034EE9"/>
    <w:rsid w:val="5D0366E8"/>
    <w:rsid w:val="5D044FED"/>
    <w:rsid w:val="5D0A06B6"/>
    <w:rsid w:val="5D1307E8"/>
    <w:rsid w:val="5D212A05"/>
    <w:rsid w:val="5D2F4802"/>
    <w:rsid w:val="5D3444E6"/>
    <w:rsid w:val="5D3F0BDF"/>
    <w:rsid w:val="5D54142D"/>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0E75"/>
    <w:rsid w:val="5E1D4A67"/>
    <w:rsid w:val="5E2269A6"/>
    <w:rsid w:val="5E237029"/>
    <w:rsid w:val="5E2E5FF4"/>
    <w:rsid w:val="5E2E6F9A"/>
    <w:rsid w:val="5E3A3BD1"/>
    <w:rsid w:val="5E436B37"/>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97B45"/>
    <w:rsid w:val="5EED7893"/>
    <w:rsid w:val="5F0A3A61"/>
    <w:rsid w:val="5F265461"/>
    <w:rsid w:val="5F4F1B95"/>
    <w:rsid w:val="5F683B6E"/>
    <w:rsid w:val="5F6D531F"/>
    <w:rsid w:val="5F875C0C"/>
    <w:rsid w:val="5F8F0B9E"/>
    <w:rsid w:val="5F8F267A"/>
    <w:rsid w:val="5FA955C5"/>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7C3E58"/>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1641DA"/>
    <w:rsid w:val="61421EFD"/>
    <w:rsid w:val="61564B4F"/>
    <w:rsid w:val="615C5041"/>
    <w:rsid w:val="61613111"/>
    <w:rsid w:val="61635733"/>
    <w:rsid w:val="61677A5D"/>
    <w:rsid w:val="61705965"/>
    <w:rsid w:val="6182260C"/>
    <w:rsid w:val="619C3887"/>
    <w:rsid w:val="61C01D80"/>
    <w:rsid w:val="61D43A2B"/>
    <w:rsid w:val="61E73496"/>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B1EBF"/>
    <w:rsid w:val="62F6011A"/>
    <w:rsid w:val="632170C2"/>
    <w:rsid w:val="6327422B"/>
    <w:rsid w:val="633B249F"/>
    <w:rsid w:val="6353654C"/>
    <w:rsid w:val="63552D76"/>
    <w:rsid w:val="6359778B"/>
    <w:rsid w:val="635B63E3"/>
    <w:rsid w:val="636642CA"/>
    <w:rsid w:val="638C3395"/>
    <w:rsid w:val="639F3A80"/>
    <w:rsid w:val="63A9658E"/>
    <w:rsid w:val="63B73AA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84329"/>
    <w:rsid w:val="64766F57"/>
    <w:rsid w:val="64856993"/>
    <w:rsid w:val="648939AA"/>
    <w:rsid w:val="649B1AC2"/>
    <w:rsid w:val="64A7467B"/>
    <w:rsid w:val="64C86505"/>
    <w:rsid w:val="64FB082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713B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19AE"/>
    <w:rsid w:val="66C955BD"/>
    <w:rsid w:val="66D76745"/>
    <w:rsid w:val="66DC317D"/>
    <w:rsid w:val="66EB4314"/>
    <w:rsid w:val="670178E1"/>
    <w:rsid w:val="670C6D27"/>
    <w:rsid w:val="670D67CE"/>
    <w:rsid w:val="67105BAB"/>
    <w:rsid w:val="6717041F"/>
    <w:rsid w:val="671B1631"/>
    <w:rsid w:val="67267B49"/>
    <w:rsid w:val="67302DC3"/>
    <w:rsid w:val="674318B2"/>
    <w:rsid w:val="6746062E"/>
    <w:rsid w:val="674D4B22"/>
    <w:rsid w:val="67545FB3"/>
    <w:rsid w:val="67570422"/>
    <w:rsid w:val="675D31B4"/>
    <w:rsid w:val="676D2F4B"/>
    <w:rsid w:val="677261FD"/>
    <w:rsid w:val="677A266A"/>
    <w:rsid w:val="677C1A81"/>
    <w:rsid w:val="67AA1080"/>
    <w:rsid w:val="67B163D1"/>
    <w:rsid w:val="67D92E70"/>
    <w:rsid w:val="67E1247B"/>
    <w:rsid w:val="67E13178"/>
    <w:rsid w:val="67F45538"/>
    <w:rsid w:val="680239EB"/>
    <w:rsid w:val="680722DA"/>
    <w:rsid w:val="682211D1"/>
    <w:rsid w:val="684640AB"/>
    <w:rsid w:val="685707E0"/>
    <w:rsid w:val="685C6395"/>
    <w:rsid w:val="686318DD"/>
    <w:rsid w:val="68635145"/>
    <w:rsid w:val="687F607E"/>
    <w:rsid w:val="68A34C5C"/>
    <w:rsid w:val="68B26AE1"/>
    <w:rsid w:val="68E24981"/>
    <w:rsid w:val="68F25B3B"/>
    <w:rsid w:val="68FC2CF2"/>
    <w:rsid w:val="69027347"/>
    <w:rsid w:val="690E5440"/>
    <w:rsid w:val="69123F86"/>
    <w:rsid w:val="691C3525"/>
    <w:rsid w:val="69216128"/>
    <w:rsid w:val="69280874"/>
    <w:rsid w:val="694C5FA5"/>
    <w:rsid w:val="695D6B21"/>
    <w:rsid w:val="69611EE7"/>
    <w:rsid w:val="696C708E"/>
    <w:rsid w:val="696F4D5D"/>
    <w:rsid w:val="697E571F"/>
    <w:rsid w:val="69850854"/>
    <w:rsid w:val="69850877"/>
    <w:rsid w:val="698C13C5"/>
    <w:rsid w:val="69AE1F57"/>
    <w:rsid w:val="69EE7649"/>
    <w:rsid w:val="69F0745A"/>
    <w:rsid w:val="6A1D59EC"/>
    <w:rsid w:val="6A247F72"/>
    <w:rsid w:val="6A3E2393"/>
    <w:rsid w:val="6A4012CB"/>
    <w:rsid w:val="6A435B92"/>
    <w:rsid w:val="6A444DB8"/>
    <w:rsid w:val="6A4D4828"/>
    <w:rsid w:val="6A516AC3"/>
    <w:rsid w:val="6A5303BA"/>
    <w:rsid w:val="6A677080"/>
    <w:rsid w:val="6A6B4F3D"/>
    <w:rsid w:val="6A711183"/>
    <w:rsid w:val="6A762B91"/>
    <w:rsid w:val="6A7B4B9C"/>
    <w:rsid w:val="6A973A89"/>
    <w:rsid w:val="6AA516B2"/>
    <w:rsid w:val="6AAF014C"/>
    <w:rsid w:val="6ACA4D44"/>
    <w:rsid w:val="6ACB082B"/>
    <w:rsid w:val="6AD3247E"/>
    <w:rsid w:val="6AF805EA"/>
    <w:rsid w:val="6B2B0EFD"/>
    <w:rsid w:val="6B2C13E4"/>
    <w:rsid w:val="6B4128F1"/>
    <w:rsid w:val="6B4B0A4C"/>
    <w:rsid w:val="6B50310B"/>
    <w:rsid w:val="6B5045E2"/>
    <w:rsid w:val="6B736A2E"/>
    <w:rsid w:val="6B8170D6"/>
    <w:rsid w:val="6B884219"/>
    <w:rsid w:val="6B90781F"/>
    <w:rsid w:val="6B974370"/>
    <w:rsid w:val="6B9C76AD"/>
    <w:rsid w:val="6BA9194F"/>
    <w:rsid w:val="6BAC41DA"/>
    <w:rsid w:val="6BAE64BE"/>
    <w:rsid w:val="6BE727F5"/>
    <w:rsid w:val="6BEE7CAA"/>
    <w:rsid w:val="6BF34791"/>
    <w:rsid w:val="6BF36ABE"/>
    <w:rsid w:val="6C240DF3"/>
    <w:rsid w:val="6C2E6123"/>
    <w:rsid w:val="6C45610F"/>
    <w:rsid w:val="6C547243"/>
    <w:rsid w:val="6C547446"/>
    <w:rsid w:val="6C59472D"/>
    <w:rsid w:val="6C5A4564"/>
    <w:rsid w:val="6C603744"/>
    <w:rsid w:val="6C627CF4"/>
    <w:rsid w:val="6C637CCF"/>
    <w:rsid w:val="6C646F5A"/>
    <w:rsid w:val="6C7802EB"/>
    <w:rsid w:val="6C79488C"/>
    <w:rsid w:val="6C89456C"/>
    <w:rsid w:val="6CA20D5B"/>
    <w:rsid w:val="6CA41AC3"/>
    <w:rsid w:val="6CC14E69"/>
    <w:rsid w:val="6CD63FB3"/>
    <w:rsid w:val="6CF94BBA"/>
    <w:rsid w:val="6D056EA6"/>
    <w:rsid w:val="6D221E52"/>
    <w:rsid w:val="6D227835"/>
    <w:rsid w:val="6D3C6626"/>
    <w:rsid w:val="6D576C80"/>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577C6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03A20"/>
    <w:rsid w:val="6EE9744F"/>
    <w:rsid w:val="6EEC3F7C"/>
    <w:rsid w:val="6EFA7855"/>
    <w:rsid w:val="6EFE1485"/>
    <w:rsid w:val="6F031F8E"/>
    <w:rsid w:val="6F0D382C"/>
    <w:rsid w:val="6F1D22FF"/>
    <w:rsid w:val="6F234FBA"/>
    <w:rsid w:val="6F2632E8"/>
    <w:rsid w:val="6F30363A"/>
    <w:rsid w:val="6F3316E5"/>
    <w:rsid w:val="6F3F365F"/>
    <w:rsid w:val="6F3F40F9"/>
    <w:rsid w:val="6F5E436B"/>
    <w:rsid w:val="6F6D42C6"/>
    <w:rsid w:val="6F6F14E1"/>
    <w:rsid w:val="6F975588"/>
    <w:rsid w:val="6FA629D4"/>
    <w:rsid w:val="6FA75ADB"/>
    <w:rsid w:val="6FB72F4F"/>
    <w:rsid w:val="6FB77ED4"/>
    <w:rsid w:val="6FBD4D2F"/>
    <w:rsid w:val="6FBF4710"/>
    <w:rsid w:val="6FC06B54"/>
    <w:rsid w:val="6FC9109F"/>
    <w:rsid w:val="6FCC6779"/>
    <w:rsid w:val="6FD87CB4"/>
    <w:rsid w:val="6FDB518F"/>
    <w:rsid w:val="6FDD13A5"/>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941A0"/>
    <w:rsid w:val="719F7A78"/>
    <w:rsid w:val="71C7540C"/>
    <w:rsid w:val="71E74F15"/>
    <w:rsid w:val="71EA165A"/>
    <w:rsid w:val="71F54B5B"/>
    <w:rsid w:val="71F64A63"/>
    <w:rsid w:val="71F870B8"/>
    <w:rsid w:val="72021233"/>
    <w:rsid w:val="720B2A1D"/>
    <w:rsid w:val="72174817"/>
    <w:rsid w:val="721A3F70"/>
    <w:rsid w:val="723465E2"/>
    <w:rsid w:val="7240003C"/>
    <w:rsid w:val="727C422C"/>
    <w:rsid w:val="728F0124"/>
    <w:rsid w:val="7292045A"/>
    <w:rsid w:val="72974DBE"/>
    <w:rsid w:val="72A20C20"/>
    <w:rsid w:val="72AC5E95"/>
    <w:rsid w:val="72B548F7"/>
    <w:rsid w:val="72C13ED7"/>
    <w:rsid w:val="72C82804"/>
    <w:rsid w:val="72CF1AC7"/>
    <w:rsid w:val="72DA05FA"/>
    <w:rsid w:val="72E42AFA"/>
    <w:rsid w:val="72E85578"/>
    <w:rsid w:val="72EB270B"/>
    <w:rsid w:val="72EB4466"/>
    <w:rsid w:val="72FA122A"/>
    <w:rsid w:val="72FD426E"/>
    <w:rsid w:val="73004315"/>
    <w:rsid w:val="73043CFC"/>
    <w:rsid w:val="73161882"/>
    <w:rsid w:val="732C334F"/>
    <w:rsid w:val="734F0C79"/>
    <w:rsid w:val="734F4185"/>
    <w:rsid w:val="73520620"/>
    <w:rsid w:val="7363274A"/>
    <w:rsid w:val="73691A4A"/>
    <w:rsid w:val="737807F3"/>
    <w:rsid w:val="738A6895"/>
    <w:rsid w:val="73AE569E"/>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91E79"/>
    <w:rsid w:val="746B732F"/>
    <w:rsid w:val="746E18CB"/>
    <w:rsid w:val="7476451A"/>
    <w:rsid w:val="74843B4A"/>
    <w:rsid w:val="748D52FA"/>
    <w:rsid w:val="748F1701"/>
    <w:rsid w:val="74993216"/>
    <w:rsid w:val="74B44784"/>
    <w:rsid w:val="74B808BF"/>
    <w:rsid w:val="74C87489"/>
    <w:rsid w:val="74E06625"/>
    <w:rsid w:val="75084E8F"/>
    <w:rsid w:val="75202656"/>
    <w:rsid w:val="75656710"/>
    <w:rsid w:val="757260C0"/>
    <w:rsid w:val="75752B04"/>
    <w:rsid w:val="75783839"/>
    <w:rsid w:val="758910BB"/>
    <w:rsid w:val="759558DF"/>
    <w:rsid w:val="75955DA9"/>
    <w:rsid w:val="75977910"/>
    <w:rsid w:val="759F2A35"/>
    <w:rsid w:val="75B15C41"/>
    <w:rsid w:val="75CD3EFF"/>
    <w:rsid w:val="75D12923"/>
    <w:rsid w:val="75D93536"/>
    <w:rsid w:val="75EA364B"/>
    <w:rsid w:val="75F20996"/>
    <w:rsid w:val="75F96973"/>
    <w:rsid w:val="76025FD6"/>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54D4E"/>
    <w:rsid w:val="76B64E53"/>
    <w:rsid w:val="76B8001A"/>
    <w:rsid w:val="76BC02F2"/>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72A76"/>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6066E"/>
    <w:rsid w:val="79395A92"/>
    <w:rsid w:val="794008FB"/>
    <w:rsid w:val="794708D9"/>
    <w:rsid w:val="794B21A1"/>
    <w:rsid w:val="795D4CA8"/>
    <w:rsid w:val="7964574A"/>
    <w:rsid w:val="79941CF2"/>
    <w:rsid w:val="79973382"/>
    <w:rsid w:val="79D33056"/>
    <w:rsid w:val="79D82BB5"/>
    <w:rsid w:val="79EC0256"/>
    <w:rsid w:val="79F504C0"/>
    <w:rsid w:val="79F60153"/>
    <w:rsid w:val="79FB6E2C"/>
    <w:rsid w:val="7A000A00"/>
    <w:rsid w:val="7A0C4750"/>
    <w:rsid w:val="7A2D7836"/>
    <w:rsid w:val="7A4C2D60"/>
    <w:rsid w:val="7A6D61A5"/>
    <w:rsid w:val="7A6E4BF5"/>
    <w:rsid w:val="7A721EC3"/>
    <w:rsid w:val="7A730C57"/>
    <w:rsid w:val="7A851D5D"/>
    <w:rsid w:val="7A8A2267"/>
    <w:rsid w:val="7AB53126"/>
    <w:rsid w:val="7AB76FE8"/>
    <w:rsid w:val="7AD268E2"/>
    <w:rsid w:val="7AD43FD3"/>
    <w:rsid w:val="7ADC0950"/>
    <w:rsid w:val="7ADC0B33"/>
    <w:rsid w:val="7ADE6462"/>
    <w:rsid w:val="7AE10C8F"/>
    <w:rsid w:val="7AE14C19"/>
    <w:rsid w:val="7AEA174E"/>
    <w:rsid w:val="7AF013D3"/>
    <w:rsid w:val="7B0321DE"/>
    <w:rsid w:val="7B274176"/>
    <w:rsid w:val="7B2B3677"/>
    <w:rsid w:val="7B356407"/>
    <w:rsid w:val="7B401C79"/>
    <w:rsid w:val="7B440ED6"/>
    <w:rsid w:val="7B4678D7"/>
    <w:rsid w:val="7B4B2A93"/>
    <w:rsid w:val="7B527515"/>
    <w:rsid w:val="7B560A24"/>
    <w:rsid w:val="7B5922B3"/>
    <w:rsid w:val="7B890A24"/>
    <w:rsid w:val="7BA47616"/>
    <w:rsid w:val="7BAA485C"/>
    <w:rsid w:val="7BAD1591"/>
    <w:rsid w:val="7BAF117E"/>
    <w:rsid w:val="7BB31662"/>
    <w:rsid w:val="7BB37B52"/>
    <w:rsid w:val="7BB83E6C"/>
    <w:rsid w:val="7BD3716B"/>
    <w:rsid w:val="7BEC2711"/>
    <w:rsid w:val="7BF55850"/>
    <w:rsid w:val="7C1054B7"/>
    <w:rsid w:val="7C12235D"/>
    <w:rsid w:val="7C143FB0"/>
    <w:rsid w:val="7C26369C"/>
    <w:rsid w:val="7C2A465C"/>
    <w:rsid w:val="7C305879"/>
    <w:rsid w:val="7C34521A"/>
    <w:rsid w:val="7C381A5A"/>
    <w:rsid w:val="7C4A2BD1"/>
    <w:rsid w:val="7C576C70"/>
    <w:rsid w:val="7C77043F"/>
    <w:rsid w:val="7C895074"/>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A787F"/>
    <w:rsid w:val="7D3B3737"/>
    <w:rsid w:val="7D3D73AF"/>
    <w:rsid w:val="7D5B27C9"/>
    <w:rsid w:val="7D62117D"/>
    <w:rsid w:val="7D794101"/>
    <w:rsid w:val="7D834A16"/>
    <w:rsid w:val="7D9D438F"/>
    <w:rsid w:val="7DA514D2"/>
    <w:rsid w:val="7DBE1B45"/>
    <w:rsid w:val="7DC03698"/>
    <w:rsid w:val="7DCD4EB5"/>
    <w:rsid w:val="7DCF5B74"/>
    <w:rsid w:val="7DEE3937"/>
    <w:rsid w:val="7DFE110C"/>
    <w:rsid w:val="7E0427CB"/>
    <w:rsid w:val="7E090313"/>
    <w:rsid w:val="7E3647B6"/>
    <w:rsid w:val="7E3E0FEC"/>
    <w:rsid w:val="7E3E1EF2"/>
    <w:rsid w:val="7E417270"/>
    <w:rsid w:val="7E5C1ABA"/>
    <w:rsid w:val="7E62165E"/>
    <w:rsid w:val="7E622778"/>
    <w:rsid w:val="7E756346"/>
    <w:rsid w:val="7E7B70FE"/>
    <w:rsid w:val="7E7D4A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590EFE"/>
    <w:rsid w:val="7F6334FD"/>
    <w:rsid w:val="7F68051A"/>
    <w:rsid w:val="7F6B2248"/>
    <w:rsid w:val="7F7D7A8E"/>
    <w:rsid w:val="7F872588"/>
    <w:rsid w:val="7F8725BA"/>
    <w:rsid w:val="7F8C6A8F"/>
    <w:rsid w:val="7F9C175D"/>
    <w:rsid w:val="7FA85877"/>
    <w:rsid w:val="7FAE4683"/>
    <w:rsid w:val="7FDB01D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qFormat="1" w:unhideWhenUsed="0" w:uiPriority="0" w:semiHidden="0"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qFormat="1" w:unhideWhenUsed="0" w:uiPriority="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7"/>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6"/>
    <w:qFormat/>
    <w:uiPriority w:val="0"/>
    <w:pPr>
      <w:numPr>
        <w:ilvl w:val="2"/>
      </w:numPr>
      <w:spacing w:before="120"/>
      <w:ind w:left="0"/>
      <w:outlineLvl w:val="2"/>
    </w:pPr>
    <w:rPr>
      <w:sz w:val="24"/>
    </w:rPr>
  </w:style>
  <w:style w:type="paragraph" w:styleId="5">
    <w:name w:val="heading 4"/>
    <w:basedOn w:val="4"/>
    <w:next w:val="1"/>
    <w:link w:val="55"/>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8"/>
    <w:basedOn w:val="2"/>
    <w:next w:val="1"/>
    <w:qFormat/>
    <w:uiPriority w:val="0"/>
    <w:pPr>
      <w:ind w:left="0" w:firstLine="0"/>
      <w:outlineLvl w:val="7"/>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0">
    <w:name w:val="List 3"/>
    <w:basedOn w:val="11"/>
    <w:semiHidden/>
    <w:qFormat/>
    <w:uiPriority w:val="0"/>
    <w:pPr>
      <w:ind w:left="1135"/>
    </w:pPr>
  </w:style>
  <w:style w:type="paragraph" w:styleId="11">
    <w:name w:val="List 2"/>
    <w:basedOn w:val="12"/>
    <w:semiHidden/>
    <w:qFormat/>
    <w:uiPriority w:val="0"/>
    <w:pPr>
      <w:ind w:left="851"/>
    </w:pPr>
  </w:style>
  <w:style w:type="paragraph" w:styleId="12">
    <w:name w:val="List"/>
    <w:basedOn w:val="1"/>
    <w:qFormat/>
    <w:uiPriority w:val="0"/>
    <w:pPr>
      <w:ind w:left="568" w:hanging="284"/>
    </w:pPr>
  </w:style>
  <w:style w:type="paragraph" w:styleId="13">
    <w:name w:val="caption"/>
    <w:basedOn w:val="1"/>
    <w:next w:val="1"/>
    <w:qFormat/>
    <w:uiPriority w:val="0"/>
    <w:pPr>
      <w:overflowPunct w:val="0"/>
      <w:autoSpaceDE w:val="0"/>
      <w:autoSpaceDN w:val="0"/>
      <w:adjustRightInd w:val="0"/>
      <w:spacing w:before="120" w:after="120"/>
      <w:textAlignment w:val="baseline"/>
    </w:pPr>
    <w:rPr>
      <w:b/>
    </w:rPr>
  </w:style>
  <w:style w:type="paragraph" w:styleId="14">
    <w:name w:val="Document Map"/>
    <w:basedOn w:val="1"/>
    <w:link w:val="43"/>
    <w:semiHidden/>
    <w:unhideWhenUsed/>
    <w:qFormat/>
    <w:uiPriority w:val="99"/>
    <w:rPr>
      <w:rFonts w:ascii="宋体"/>
      <w:sz w:val="18"/>
      <w:szCs w:val="18"/>
    </w:rPr>
  </w:style>
  <w:style w:type="paragraph" w:styleId="15">
    <w:name w:val="annotation text"/>
    <w:basedOn w:val="1"/>
    <w:link w:val="44"/>
    <w:unhideWhenUsed/>
    <w:qFormat/>
    <w:uiPriority w:val="0"/>
    <w:pPr>
      <w:spacing w:before="120" w:after="120"/>
      <w:jc w:val="left"/>
    </w:pPr>
  </w:style>
  <w:style w:type="paragraph" w:styleId="16">
    <w:name w:val="toc 3"/>
    <w:basedOn w:val="1"/>
    <w:next w:val="1"/>
    <w:unhideWhenUsed/>
    <w:qFormat/>
    <w:uiPriority w:val="39"/>
    <w:pPr>
      <w:adjustRightInd w:val="0"/>
      <w:ind w:left="1282" w:leftChars="400" w:hanging="442" w:hangingChars="200"/>
    </w:pPr>
    <w:rPr>
      <w:b/>
      <w:i/>
      <w:sz w:val="20"/>
    </w:rPr>
  </w:style>
  <w:style w:type="paragraph" w:styleId="17">
    <w:name w:val="Balloon Text"/>
    <w:basedOn w:val="1"/>
    <w:link w:val="32"/>
    <w:semiHidden/>
    <w:unhideWhenUsed/>
    <w:qFormat/>
    <w:uiPriority w:val="99"/>
    <w:pPr>
      <w:spacing w:line="240" w:lineRule="auto"/>
    </w:pPr>
    <w:rPr>
      <w:sz w:val="18"/>
      <w:szCs w:val="18"/>
    </w:rPr>
  </w:style>
  <w:style w:type="paragraph" w:styleId="18">
    <w:name w:val="footer"/>
    <w:basedOn w:val="1"/>
    <w:link w:val="41"/>
    <w:unhideWhenUsed/>
    <w:qFormat/>
    <w:uiPriority w:val="0"/>
    <w:pPr>
      <w:tabs>
        <w:tab w:val="center" w:pos="4153"/>
        <w:tab w:val="right" w:pos="8306"/>
      </w:tabs>
      <w:snapToGrid w:val="0"/>
      <w:jc w:val="left"/>
    </w:pPr>
    <w:rPr>
      <w:sz w:val="18"/>
      <w:szCs w:val="18"/>
    </w:rPr>
  </w:style>
  <w:style w:type="paragraph" w:styleId="19">
    <w:name w:val="header"/>
    <w:basedOn w:val="1"/>
    <w:link w:val="40"/>
    <w:semiHidden/>
    <w:qFormat/>
    <w:uiPriority w:val="0"/>
    <w:pPr>
      <w:tabs>
        <w:tab w:val="center" w:pos="4680"/>
        <w:tab w:val="right" w:pos="9360"/>
      </w:tabs>
      <w:spacing w:line="240" w:lineRule="auto"/>
    </w:pPr>
  </w:style>
  <w:style w:type="paragraph" w:styleId="20">
    <w:name w:val="toc 1"/>
    <w:basedOn w:val="1"/>
    <w:next w:val="1"/>
    <w:unhideWhenUsed/>
    <w:qFormat/>
    <w:uiPriority w:val="39"/>
    <w:rPr>
      <w:rFonts w:eastAsiaTheme="minorEastAsia"/>
      <w:b/>
      <w:i/>
      <w:sz w:val="20"/>
    </w:rPr>
  </w:style>
  <w:style w:type="paragraph" w:styleId="21">
    <w:name w:val="table of figures"/>
    <w:basedOn w:val="1"/>
    <w:next w:val="1"/>
    <w:semiHidden/>
    <w:unhideWhenUsed/>
    <w:qFormat/>
    <w:uiPriority w:val="99"/>
    <w:pPr>
      <w:ind w:left="200" w:leftChars="200" w:hanging="200" w:hangingChars="200"/>
    </w:pPr>
  </w:style>
  <w:style w:type="paragraph" w:styleId="22">
    <w:name w:val="toc 2"/>
    <w:basedOn w:val="1"/>
    <w:next w:val="1"/>
    <w:unhideWhenUsed/>
    <w:qFormat/>
    <w:uiPriority w:val="39"/>
    <w:pPr>
      <w:ind w:left="420" w:leftChars="200"/>
    </w:pPr>
    <w:rPr>
      <w:b/>
      <w:i/>
      <w:sz w:val="20"/>
    </w:rPr>
  </w:style>
  <w:style w:type="paragraph" w:styleId="23">
    <w:name w:val="Normal (Web)"/>
    <w:basedOn w:val="1"/>
    <w:semiHidden/>
    <w:unhideWhenUsed/>
    <w:qFormat/>
    <w:uiPriority w:val="99"/>
    <w:pPr>
      <w:spacing w:beforeAutospacing="1" w:afterAutospacing="1"/>
      <w:jc w:val="left"/>
    </w:pPr>
    <w:rPr>
      <w:kern w:val="0"/>
      <w:sz w:val="24"/>
    </w:rPr>
  </w:style>
  <w:style w:type="paragraph" w:styleId="24">
    <w:name w:val="annotation subject"/>
    <w:basedOn w:val="15"/>
    <w:next w:val="15"/>
    <w:link w:val="45"/>
    <w:semiHidden/>
    <w:unhideWhenUsed/>
    <w:qFormat/>
    <w:uiPriority w:val="99"/>
    <w:rPr>
      <w:b/>
      <w:bCs/>
    </w:rPr>
  </w:style>
  <w:style w:type="table" w:styleId="26">
    <w:name w:val="Table Grid"/>
    <w:basedOn w:val="2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character" w:styleId="29">
    <w:name w:val="Emphasis"/>
    <w:basedOn w:val="27"/>
    <w:qFormat/>
    <w:uiPriority w:val="20"/>
    <w:rPr>
      <w:i/>
    </w:rPr>
  </w:style>
  <w:style w:type="character" w:styleId="30">
    <w:name w:val="Hyperlink"/>
    <w:qFormat/>
    <w:uiPriority w:val="99"/>
    <w:rPr>
      <w:color w:val="0000FF"/>
      <w:u w:val="single"/>
    </w:rPr>
  </w:style>
  <w:style w:type="character" w:styleId="31">
    <w:name w:val="annotation reference"/>
    <w:basedOn w:val="27"/>
    <w:unhideWhenUsed/>
    <w:qFormat/>
    <w:uiPriority w:val="0"/>
    <w:rPr>
      <w:sz w:val="16"/>
      <w:szCs w:val="16"/>
    </w:rPr>
  </w:style>
  <w:style w:type="character" w:customStyle="1" w:styleId="32">
    <w:name w:val="批注框文本 Char"/>
    <w:basedOn w:val="27"/>
    <w:link w:val="17"/>
    <w:semiHidden/>
    <w:qFormat/>
    <w:uiPriority w:val="99"/>
    <w:rPr>
      <w:kern w:val="2"/>
      <w:sz w:val="18"/>
      <w:szCs w:val="18"/>
    </w:rPr>
  </w:style>
  <w:style w:type="paragraph" w:customStyle="1" w:styleId="33">
    <w:name w:val="YJ-Proposal"/>
    <w:basedOn w:val="1"/>
    <w:qFormat/>
    <w:uiPriority w:val="0"/>
    <w:pPr>
      <w:numPr>
        <w:ilvl w:val="0"/>
        <w:numId w:val="2"/>
      </w:numPr>
    </w:pPr>
    <w:rPr>
      <w:rFonts w:eastAsiaTheme="minorEastAsia"/>
      <w:b/>
      <w:bCs/>
      <w:i/>
      <w:iCs/>
      <w:sz w:val="20"/>
      <w:lang w:val="en-GB" w:eastAsia="en-US"/>
    </w:rPr>
  </w:style>
  <w:style w:type="paragraph" w:customStyle="1" w:styleId="34">
    <w:name w:val="YJ-Observation"/>
    <w:basedOn w:val="33"/>
    <w:qFormat/>
    <w:uiPriority w:val="0"/>
    <w:pPr>
      <w:numPr>
        <w:ilvl w:val="0"/>
        <w:numId w:val="3"/>
      </w:numPr>
      <w:tabs>
        <w:tab w:val="left" w:pos="420"/>
      </w:tabs>
    </w:pPr>
  </w:style>
  <w:style w:type="paragraph" w:customStyle="1" w:styleId="35">
    <w:name w:val="References"/>
    <w:basedOn w:val="1"/>
    <w:qFormat/>
    <w:uiPriority w:val="0"/>
    <w:pPr>
      <w:numPr>
        <w:ilvl w:val="0"/>
        <w:numId w:val="4"/>
      </w:numPr>
      <w:spacing w:after="60"/>
    </w:pPr>
    <w:rPr>
      <w:szCs w:val="16"/>
    </w:rPr>
  </w:style>
  <w:style w:type="paragraph" w:styleId="36">
    <w:name w:val="List Paragraph"/>
    <w:basedOn w:val="1"/>
    <w:link w:val="70"/>
    <w:qFormat/>
    <w:uiPriority w:val="34"/>
    <w:pPr>
      <w:spacing w:beforeLines="0" w:line="240" w:lineRule="auto"/>
      <w:ind w:left="720"/>
      <w:contextualSpacing/>
    </w:pPr>
    <w:rPr>
      <w:rFonts w:eastAsia="Times New Roman"/>
      <w:sz w:val="24"/>
      <w:szCs w:val="24"/>
    </w:rPr>
  </w:style>
  <w:style w:type="paragraph" w:customStyle="1" w:styleId="37">
    <w:name w:val="sub-proposal"/>
    <w:basedOn w:val="33"/>
    <w:next w:val="1"/>
    <w:qFormat/>
    <w:uiPriority w:val="0"/>
    <w:pPr>
      <w:numPr>
        <w:numId w:val="5"/>
      </w:numPr>
      <w:tabs>
        <w:tab w:val="left" w:pos="807"/>
      </w:tabs>
    </w:pPr>
  </w:style>
  <w:style w:type="paragraph" w:customStyle="1" w:styleId="38">
    <w:name w:val="样式1"/>
    <w:basedOn w:val="1"/>
    <w:qFormat/>
    <w:uiPriority w:val="0"/>
  </w:style>
  <w:style w:type="paragraph" w:customStyle="1" w:styleId="39">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40">
    <w:name w:val="页眉 Char"/>
    <w:basedOn w:val="27"/>
    <w:link w:val="19"/>
    <w:semiHidden/>
    <w:qFormat/>
    <w:uiPriority w:val="0"/>
    <w:rPr>
      <w:rFonts w:eastAsia="宋体"/>
      <w:kern w:val="2"/>
      <w:sz w:val="21"/>
    </w:rPr>
  </w:style>
  <w:style w:type="character" w:customStyle="1" w:styleId="41">
    <w:name w:val="页脚 Char"/>
    <w:basedOn w:val="27"/>
    <w:link w:val="18"/>
    <w:qFormat/>
    <w:uiPriority w:val="99"/>
    <w:rPr>
      <w:rFonts w:eastAsia="宋体"/>
      <w:kern w:val="2"/>
      <w:sz w:val="18"/>
      <w:szCs w:val="18"/>
    </w:rPr>
  </w:style>
  <w:style w:type="paragraph" w:customStyle="1" w:styleId="42">
    <w:name w:val="YJ--正文"/>
    <w:basedOn w:val="1"/>
    <w:qFormat/>
    <w:uiPriority w:val="0"/>
    <w:pPr>
      <w:spacing w:before="50" w:after="50" w:line="240" w:lineRule="auto"/>
    </w:pPr>
    <w:rPr>
      <w:rFonts w:eastAsia="Times New Roman" w:cs="宋体"/>
      <w:sz w:val="20"/>
    </w:rPr>
  </w:style>
  <w:style w:type="character" w:customStyle="1" w:styleId="43">
    <w:name w:val="文档结构图 Char"/>
    <w:basedOn w:val="27"/>
    <w:link w:val="14"/>
    <w:semiHidden/>
    <w:qFormat/>
    <w:uiPriority w:val="99"/>
    <w:rPr>
      <w:rFonts w:ascii="宋体"/>
      <w:kern w:val="2"/>
      <w:sz w:val="18"/>
      <w:szCs w:val="18"/>
    </w:rPr>
  </w:style>
  <w:style w:type="character" w:customStyle="1" w:styleId="44">
    <w:name w:val="批注文字 Char"/>
    <w:basedOn w:val="27"/>
    <w:link w:val="15"/>
    <w:qFormat/>
    <w:uiPriority w:val="0"/>
    <w:rPr>
      <w:rFonts w:eastAsia="宋体"/>
      <w:kern w:val="2"/>
      <w:sz w:val="21"/>
    </w:rPr>
  </w:style>
  <w:style w:type="character" w:customStyle="1" w:styleId="45">
    <w:name w:val="批注主题 Char"/>
    <w:basedOn w:val="44"/>
    <w:link w:val="24"/>
    <w:qFormat/>
    <w:uiPriority w:val="0"/>
    <w:rPr>
      <w:rFonts w:eastAsia="宋体"/>
      <w:kern w:val="2"/>
      <w:sz w:val="21"/>
    </w:rPr>
  </w:style>
  <w:style w:type="paragraph" w:customStyle="1" w:styleId="46">
    <w:name w:val="subullet"/>
    <w:basedOn w:val="1"/>
    <w:qFormat/>
    <w:uiPriority w:val="0"/>
    <w:pPr>
      <w:numPr>
        <w:ilvl w:val="1"/>
        <w:numId w:val="2"/>
      </w:numPr>
      <w:spacing w:before="50" w:after="50"/>
    </w:pPr>
    <w:rPr>
      <w:rFonts w:hint="eastAsia" w:eastAsiaTheme="minorEastAsia"/>
      <w:b/>
      <w:bCs/>
      <w:i/>
      <w:iCs/>
      <w:sz w:val="20"/>
    </w:rPr>
  </w:style>
  <w:style w:type="paragraph" w:customStyle="1" w:styleId="47">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8">
    <w:name w:val="3rd level proposal"/>
    <w:basedOn w:val="37"/>
    <w:next w:val="1"/>
    <w:qFormat/>
    <w:uiPriority w:val="0"/>
    <w:pPr>
      <w:numPr>
        <w:ilvl w:val="0"/>
        <w:numId w:val="6"/>
      </w:numPr>
      <w:ind w:left="1282" w:leftChars="400" w:hanging="442" w:hangingChars="200"/>
      <w:jc w:val="left"/>
    </w:pPr>
  </w:style>
  <w:style w:type="paragraph" w:customStyle="1" w:styleId="49">
    <w:name w:val="B1"/>
    <w:basedOn w:val="12"/>
    <w:link w:val="63"/>
    <w:qFormat/>
    <w:uiPriority w:val="0"/>
  </w:style>
  <w:style w:type="paragraph" w:customStyle="1" w:styleId="50">
    <w:name w:val="B3"/>
    <w:basedOn w:val="10"/>
    <w:qFormat/>
    <w:uiPriority w:val="0"/>
    <w:pPr>
      <w:ind w:left="1135" w:hanging="284"/>
    </w:pPr>
  </w:style>
  <w:style w:type="character" w:styleId="51">
    <w:name w:val="Placeholder Text"/>
    <w:basedOn w:val="27"/>
    <w:semiHidden/>
    <w:qFormat/>
    <w:uiPriority w:val="99"/>
    <w:rPr>
      <w:color w:val="808080"/>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11"/>
    <w:qFormat/>
    <w:uiPriority w:val="0"/>
    <w:pPr>
      <w:ind w:left="851" w:hanging="284"/>
    </w:pPr>
    <w:rPr>
      <w:lang w:val="zh-CN"/>
    </w:rPr>
  </w:style>
  <w:style w:type="paragraph" w:customStyle="1" w:styleId="54">
    <w:name w:val="B4"/>
    <w:basedOn w:val="1"/>
    <w:qFormat/>
    <w:uiPriority w:val="0"/>
    <w:pPr>
      <w:ind w:left="1418" w:hanging="284"/>
    </w:pPr>
  </w:style>
  <w:style w:type="character" w:customStyle="1" w:styleId="55">
    <w:name w:val="标题 4 Char"/>
    <w:basedOn w:val="27"/>
    <w:link w:val="5"/>
    <w:qFormat/>
    <w:uiPriority w:val="0"/>
    <w:rPr>
      <w:rFonts w:ascii="Arial" w:hAnsi="Arial" w:eastAsia="MS Mincho"/>
      <w:kern w:val="2"/>
      <w:sz w:val="24"/>
    </w:rPr>
  </w:style>
  <w:style w:type="character" w:customStyle="1" w:styleId="56">
    <w:name w:val="标题 3 Char"/>
    <w:basedOn w:val="27"/>
    <w:link w:val="4"/>
    <w:qFormat/>
    <w:uiPriority w:val="0"/>
    <w:rPr>
      <w:rFonts w:ascii="Arial" w:hAnsi="Arial" w:eastAsia="MS Mincho"/>
      <w:kern w:val="2"/>
      <w:sz w:val="24"/>
    </w:rPr>
  </w:style>
  <w:style w:type="character" w:customStyle="1" w:styleId="57">
    <w:name w:val="标题 2 Char"/>
    <w:basedOn w:val="27"/>
    <w:link w:val="3"/>
    <w:qFormat/>
    <w:uiPriority w:val="0"/>
    <w:rPr>
      <w:rFonts w:ascii="Arial" w:hAnsi="Arial" w:eastAsia="MS Mincho"/>
      <w:kern w:val="2"/>
      <w:sz w:val="28"/>
    </w:r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TAC"/>
    <w:basedOn w:val="60"/>
    <w:link w:val="68"/>
    <w:qFormat/>
    <w:uiPriority w:val="0"/>
    <w:pPr>
      <w:jc w:val="center"/>
    </w:pPr>
  </w:style>
  <w:style w:type="paragraph" w:customStyle="1" w:styleId="60">
    <w:name w:val="TAL"/>
    <w:basedOn w:val="1"/>
    <w:link w:val="69"/>
    <w:qFormat/>
    <w:uiPriority w:val="0"/>
    <w:pPr>
      <w:keepNext/>
      <w:keepLines/>
    </w:pPr>
    <w:rPr>
      <w:rFonts w:ascii="Arial" w:hAnsi="Arial"/>
      <w:sz w:val="18"/>
    </w:rPr>
  </w:style>
  <w:style w:type="paragraph" w:customStyle="1" w:styleId="61">
    <w:name w:val="B5"/>
    <w:basedOn w:val="1"/>
    <w:qFormat/>
    <w:uiPriority w:val="0"/>
    <w:pPr>
      <w:ind w:left="1702" w:hanging="284"/>
    </w:pPr>
  </w:style>
  <w:style w:type="character" w:customStyle="1" w:styleId="62">
    <w:name w:val="首标题"/>
    <w:qFormat/>
    <w:uiPriority w:val="0"/>
    <w:rPr>
      <w:rFonts w:ascii="Arial" w:hAnsi="Arial" w:eastAsia="宋体"/>
      <w:sz w:val="24"/>
    </w:rPr>
  </w:style>
  <w:style w:type="character" w:customStyle="1" w:styleId="63">
    <w:name w:val="B1 Char1"/>
    <w:link w:val="49"/>
    <w:qFormat/>
    <w:uiPriority w:val="0"/>
    <w:rPr>
      <w:kern w:val="2"/>
      <w:sz w:val="21"/>
    </w:rPr>
  </w:style>
  <w:style w:type="character" w:customStyle="1" w:styleId="64">
    <w:name w:val="NO Char"/>
    <w:link w:val="65"/>
    <w:qFormat/>
    <w:uiPriority w:val="0"/>
    <w:rPr>
      <w:lang w:val="en-GB" w:eastAsia="en-US"/>
    </w:rPr>
  </w:style>
  <w:style w:type="paragraph" w:customStyle="1" w:styleId="65">
    <w:name w:val="NO"/>
    <w:basedOn w:val="1"/>
    <w:link w:val="64"/>
    <w:qFormat/>
    <w:uiPriority w:val="0"/>
    <w:pPr>
      <w:keepLines/>
      <w:spacing w:beforeLines="0" w:afterLines="0" w:line="240" w:lineRule="auto"/>
      <w:ind w:left="1135" w:hanging="851"/>
      <w:jc w:val="left"/>
    </w:pPr>
    <w:rPr>
      <w:kern w:val="0"/>
      <w:sz w:val="20"/>
      <w:lang w:val="en-GB" w:eastAsia="en-US"/>
    </w:rPr>
  </w:style>
  <w:style w:type="character" w:customStyle="1" w:styleId="66">
    <w:name w:val="TAH Car"/>
    <w:link w:val="67"/>
    <w:qFormat/>
    <w:locked/>
    <w:uiPriority w:val="0"/>
    <w:rPr>
      <w:rFonts w:ascii="Arial" w:hAnsi="Arial"/>
      <w:b/>
      <w:sz w:val="18"/>
      <w:lang w:val="en-GB" w:eastAsia="en-US"/>
    </w:rPr>
  </w:style>
  <w:style w:type="paragraph" w:customStyle="1" w:styleId="67">
    <w:name w:val="TAH"/>
    <w:basedOn w:val="59"/>
    <w:link w:val="66"/>
    <w:qFormat/>
    <w:uiPriority w:val="0"/>
    <w:pPr>
      <w:spacing w:beforeLines="0" w:afterLines="0" w:line="240" w:lineRule="auto"/>
    </w:pPr>
    <w:rPr>
      <w:b/>
      <w:kern w:val="0"/>
      <w:lang w:val="en-GB" w:eastAsia="en-US"/>
    </w:rPr>
  </w:style>
  <w:style w:type="character" w:customStyle="1" w:styleId="68">
    <w:name w:val="TAC Char"/>
    <w:link w:val="59"/>
    <w:qFormat/>
    <w:locked/>
    <w:uiPriority w:val="0"/>
    <w:rPr>
      <w:rFonts w:ascii="Arial" w:hAnsi="Arial"/>
      <w:kern w:val="2"/>
      <w:sz w:val="18"/>
    </w:rPr>
  </w:style>
  <w:style w:type="character" w:customStyle="1" w:styleId="69">
    <w:name w:val="TAL Car"/>
    <w:link w:val="60"/>
    <w:qFormat/>
    <w:uiPriority w:val="0"/>
    <w:rPr>
      <w:rFonts w:ascii="Arial" w:hAnsi="Arial"/>
      <w:kern w:val="2"/>
      <w:sz w:val="18"/>
    </w:rPr>
  </w:style>
  <w:style w:type="character" w:customStyle="1" w:styleId="70">
    <w:name w:val="列出段落 Char"/>
    <w:link w:val="36"/>
    <w:qFormat/>
    <w:locked/>
    <w:uiPriority w:val="34"/>
    <w:rPr>
      <w:rFonts w:eastAsia="Times New Roman"/>
      <w:kern w:val="2"/>
      <w:sz w:val="24"/>
      <w:szCs w:val="24"/>
    </w:rPr>
  </w:style>
  <w:style w:type="paragraph" w:customStyle="1" w:styleId="71">
    <w:name w:val="修订1"/>
    <w:hidden/>
    <w:semiHidden/>
    <w:qFormat/>
    <w:uiPriority w:val="99"/>
    <w:rPr>
      <w:rFonts w:ascii="Times New Roman" w:hAnsi="Times New Roman" w:eastAsia="宋体" w:cs="Times New Roman"/>
      <w:kern w:val="2"/>
      <w:sz w:val="21"/>
      <w:lang w:val="en-US" w:eastAsia="zh-CN" w:bidi="ar-SA"/>
    </w:rPr>
  </w:style>
  <w:style w:type="paragraph" w:customStyle="1" w:styleId="72">
    <w:name w:val="TAN"/>
    <w:basedOn w:val="60"/>
    <w:qFormat/>
    <w:uiPriority w:val="0"/>
    <w:pPr>
      <w:ind w:left="851" w:hanging="851"/>
    </w:pPr>
  </w:style>
  <w:style w:type="character" w:customStyle="1" w:styleId="73">
    <w:name w:val="font4"/>
    <w:basedOn w:val="27"/>
    <w:qFormat/>
    <w:uiPriority w:val="0"/>
  </w:style>
  <w:style w:type="paragraph" w:customStyle="1" w:styleId="74">
    <w:name w:val="样式 页眉"/>
    <w:basedOn w:val="19"/>
    <w:qFormat/>
    <w:uiPriority w:val="0"/>
    <w:rPr>
      <w:rFonts w:eastAsia="Arial"/>
      <w:bCs/>
      <w:sz w:val="22"/>
    </w:rPr>
  </w:style>
  <w:style w:type="paragraph" w:customStyle="1" w:styleId="75">
    <w:name w:val="CR Cover Page"/>
    <w:qFormat/>
    <w:uiPriority w:val="0"/>
    <w:pPr>
      <w:spacing w:after="120"/>
    </w:pPr>
    <w:rPr>
      <w:rFonts w:ascii="Arial" w:hAnsi="Arial" w:eastAsia="Times New Roman" w:cs="Times New Roman"/>
      <w:lang w:val="en-GB" w:eastAsia="en-US" w:bidi="ar-SA"/>
    </w:rPr>
  </w:style>
  <w:style w:type="character" w:customStyle="1" w:styleId="76">
    <w:name w:val="10"/>
    <w:basedOn w:val="27"/>
    <w:qFormat/>
    <w:uiPriority w:val="0"/>
    <w:rPr>
      <w:rFonts w:hint="default" w:ascii="Times New Roman" w:hAnsi="Times New Roman" w:cs="Times New Roman"/>
    </w:rPr>
  </w:style>
  <w:style w:type="character" w:customStyle="1" w:styleId="77">
    <w:name w:val="15"/>
    <w:basedOn w:val="27"/>
    <w:qFormat/>
    <w:uiPriority w:val="0"/>
    <w:rPr>
      <w:rFonts w:hint="default" w:ascii="Times New Roman" w:hAnsi="Times New Roman" w:cs="Times New Roman"/>
    </w:rPr>
  </w:style>
  <w:style w:type="paragraph" w:customStyle="1" w:styleId="78">
    <w:name w:val="列出段落1"/>
    <w:basedOn w:val="1"/>
    <w:qFormat/>
    <w:uiPriority w:val="0"/>
    <w:pPr>
      <w:spacing w:after="180"/>
      <w:ind w:firstLine="420" w:firstLineChars="200"/>
      <w:jc w:val="left"/>
    </w:pPr>
    <w:rPr>
      <w:kern w:val="0"/>
    </w:rPr>
  </w:style>
  <w:style w:type="paragraph" w:customStyle="1" w:styleId="79">
    <w:name w:val="TF"/>
    <w:basedOn w:val="58"/>
    <w:qFormat/>
    <w:uiPriority w:val="0"/>
    <w:pPr>
      <w:keepNext w:val="0"/>
      <w:spacing w:before="0" w:after="240"/>
    </w:pPr>
  </w:style>
  <w:style w:type="paragraph" w:customStyle="1" w:styleId="80">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5</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2025-02-07T11:15:27Z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